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53C" w:rsidRDefault="00AD353C" w:rsidP="00AD35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AD353C" w:rsidRDefault="00AD353C" w:rsidP="00AD35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  <w:r>
        <w:rPr>
          <w:noProof/>
          <w:lang w:eastAsia="hu-HU"/>
        </w:rPr>
        <w:drawing>
          <wp:inline distT="0" distB="0" distL="0" distR="0" wp14:anchorId="5184CBE6" wp14:editId="20F48E6D">
            <wp:extent cx="5760720" cy="823743"/>
            <wp:effectExtent l="0" t="0" r="0" b="0"/>
            <wp:docPr id="1" name="Kép 1" descr="Gek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kat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53C" w:rsidRPr="003F7BA9" w:rsidRDefault="003F7BA9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Dátum</w:t>
      </w:r>
      <w:r w:rsidR="00DD0C81">
        <w:rPr>
          <w:rFonts w:eastAsia="Times New Roman" w:cstheme="minorHAnsi"/>
          <w:sz w:val="20"/>
          <w:szCs w:val="20"/>
          <w:lang w:eastAsia="hu-HU"/>
        </w:rPr>
        <w:t>: 28/04/2023</w:t>
      </w:r>
      <w:r w:rsidR="00AD353C" w:rsidRPr="003F7BA9">
        <w:rPr>
          <w:rFonts w:eastAsia="Times New Roman" w:cstheme="minorHAnsi"/>
          <w:sz w:val="20"/>
          <w:szCs w:val="20"/>
          <w:lang w:eastAsia="hu-HU"/>
        </w:rPr>
        <w:tab/>
      </w:r>
      <w:r w:rsidR="00AD353C" w:rsidRPr="00AD353C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D353C" w:rsidRPr="003F7BA9"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>A</w:t>
      </w:r>
      <w:r w:rsidRPr="003F7BA9">
        <w:rPr>
          <w:rFonts w:eastAsia="Times New Roman" w:cstheme="minorHAnsi"/>
          <w:sz w:val="20"/>
          <w:szCs w:val="20"/>
          <w:lang w:eastAsia="hu-HU"/>
        </w:rPr>
        <w:t>nyagbiztonsági adatlap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D353C">
        <w:rPr>
          <w:rFonts w:eastAsia="Times New Roman" w:cstheme="minorHAnsi"/>
          <w:sz w:val="20"/>
          <w:szCs w:val="20"/>
          <w:lang w:eastAsia="hu-HU"/>
        </w:rPr>
        <w:br/>
      </w:r>
      <w:r w:rsidR="003F7BA9">
        <w:rPr>
          <w:rFonts w:eastAsia="Times New Roman" w:cstheme="minorHAnsi"/>
          <w:sz w:val="20"/>
          <w:szCs w:val="20"/>
          <w:lang w:eastAsia="hu-HU"/>
        </w:rPr>
        <w:t>Verzió szám</w:t>
      </w:r>
      <w:r w:rsidR="00745BAD">
        <w:rPr>
          <w:rFonts w:eastAsia="Times New Roman" w:cstheme="minorHAnsi"/>
          <w:sz w:val="20"/>
          <w:szCs w:val="20"/>
          <w:lang w:eastAsia="hu-HU"/>
        </w:rPr>
        <w:t xml:space="preserve"> : 8</w:t>
      </w:r>
      <w:r w:rsidRPr="003F7B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ab/>
      </w:r>
      <w:r w:rsidR="003F7BA9">
        <w:rPr>
          <w:rFonts w:eastAsia="Times New Roman" w:cstheme="minorHAnsi"/>
          <w:sz w:val="20"/>
          <w:szCs w:val="20"/>
          <w:lang w:eastAsia="hu-HU"/>
        </w:rPr>
        <w:tab/>
      </w:r>
      <w:r w:rsidRPr="00AD353C">
        <w:rPr>
          <w:rFonts w:eastAsia="Times New Roman" w:cstheme="minorHAnsi"/>
          <w:sz w:val="20"/>
          <w:szCs w:val="20"/>
          <w:lang w:eastAsia="hu-HU"/>
        </w:rPr>
        <w:t xml:space="preserve"> IPA-ED-70-30</w:t>
      </w:r>
      <w:r w:rsidRPr="00AD353C">
        <w:rPr>
          <w:rFonts w:eastAsia="Times New Roman" w:cstheme="minorHAnsi"/>
          <w:sz w:val="20"/>
          <w:szCs w:val="20"/>
          <w:lang w:eastAsia="hu-HU"/>
        </w:rPr>
        <w:br/>
      </w:r>
      <w:r w:rsidR="003F7BA9">
        <w:rPr>
          <w:rFonts w:eastAsia="Times New Roman" w:cstheme="minorHAnsi"/>
          <w:sz w:val="20"/>
          <w:szCs w:val="20"/>
          <w:lang w:eastAsia="hu-HU"/>
        </w:rPr>
        <w:t xml:space="preserve">Készítette: </w:t>
      </w:r>
      <w:r w:rsidR="00DD0C81">
        <w:rPr>
          <w:rFonts w:eastAsia="Times New Roman" w:cstheme="minorHAnsi"/>
          <w:sz w:val="20"/>
          <w:szCs w:val="20"/>
          <w:lang w:eastAsia="hu-HU"/>
        </w:rPr>
        <w:t>R Saint-Merville</w:t>
      </w:r>
    </w:p>
    <w:p w:rsidR="00AD353C" w:rsidRPr="003F7BA9" w:rsidRDefault="00AD353C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3F7BA9" w:rsidRPr="003F7BA9" w:rsidRDefault="003F7BA9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Ez a</w:t>
      </w:r>
      <w:r w:rsidR="00DD0C81">
        <w:rPr>
          <w:rFonts w:eastAsia="Times New Roman" w:cstheme="minorHAnsi"/>
          <w:sz w:val="20"/>
          <w:szCs w:val="20"/>
          <w:lang w:eastAsia="hu-HU"/>
        </w:rPr>
        <w:t xml:space="preserve"> biztonsági adatlap az (EU) 2020/878</w:t>
      </w:r>
      <w:r w:rsidRPr="003F7BA9">
        <w:rPr>
          <w:rFonts w:eastAsia="Times New Roman" w:cstheme="minorHAnsi"/>
          <w:sz w:val="20"/>
          <w:szCs w:val="20"/>
          <w:lang w:eastAsia="hu-HU"/>
        </w:rPr>
        <w:t xml:space="preserve"> REACH </w:t>
      </w:r>
      <w:r w:rsidR="003F7BA9" w:rsidRPr="003F7BA9">
        <w:rPr>
          <w:rFonts w:eastAsia="Times New Roman" w:cstheme="minorHAnsi"/>
          <w:sz w:val="20"/>
          <w:szCs w:val="20"/>
          <w:lang w:eastAsia="hu-HU"/>
        </w:rPr>
        <w:t>rendelettel összhangban készült a CE 1907/2006 módosításai szerint.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 . Az anyag/keverék és a vállalat/vállalkozás azonosítása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1.1. Termékazonosító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Termék neve: IPA-ED-70-30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Leírás: Oldószerrel impregnált, nem szőtt, perforált törlő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1.2. Az anyag vagy keverék megfelelő azonosított felhasználása, illetve ellenjavallt felhasználása</w:t>
      </w:r>
    </w:p>
    <w:p w:rsidR="00AD353C" w:rsidRPr="003F7BA9" w:rsidRDefault="003F7BA9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Azonosított felhasználás: Felületek és tárgyak isztítására.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1.3. A biztonsági adatlap szállítójának adatai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Cégnév: GEKATEX SA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181 rue Léon Beauchamp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59930 La Chapelle D’Armentières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FRANCIAORSZÁG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Telefonszám 00 33 3 20 17 97 00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E-mail cím contact@gekatex.com</w:t>
      </w:r>
    </w:p>
    <w:p w:rsidR="00AD353C" w:rsidRPr="003F7BA9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1.4. Sürgősségi telefonszám</w:t>
      </w:r>
    </w:p>
    <w:p w:rsidR="00AD353C" w:rsidRPr="00AD353C" w:rsidRDefault="00AD353C" w:rsidP="00AD353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Telefonszám INRS-ORFILA 00 33 1 45 42 59 59</w:t>
      </w:r>
    </w:p>
    <w:p w:rsidR="003F7BA9" w:rsidRPr="003F7BA9" w:rsidRDefault="00AD353C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br/>
      </w:r>
      <w:r w:rsidR="003F7BA9" w:rsidRPr="003F7BA9">
        <w:rPr>
          <w:rFonts w:eastAsia="Times New Roman" w:cstheme="minorHAnsi"/>
          <w:sz w:val="20"/>
          <w:szCs w:val="20"/>
          <w:lang w:eastAsia="hu-HU"/>
        </w:rPr>
        <w:t>2. A veszélyek azonosítása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2.1. Az anyag vagy keverék osztályozása (CE) 1272/2008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Fizikai veszélyek: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>Tűzveszélyes termék: 2. kategória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Egészségügyi veszélyek: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>Súlyos szemkárosodás/szemirritáció: 2. kategória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Célszervi toxicitás :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>3. kategória (központi idegrendszer)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Környezeti veszélyek: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>Akut vízi toxicitás : nincs osztályozva</w:t>
      </w:r>
    </w:p>
    <w:p w:rsidR="00AD353C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Krónikus vízi toxicitás :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3F7BA9">
        <w:rPr>
          <w:rFonts w:eastAsia="Times New Roman" w:cstheme="minorHAnsi"/>
          <w:sz w:val="20"/>
          <w:szCs w:val="20"/>
          <w:lang w:eastAsia="hu-HU"/>
        </w:rPr>
        <w:t>nincs besorolva</w:t>
      </w:r>
    </w:p>
    <w:p w:rsidR="00AD353C" w:rsidRDefault="00AD353C" w:rsidP="00AD35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2.2. Címke elemei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Veszélyt jelző piktogramok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 xml:space="preserve">GHS07 </w:t>
      </w:r>
      <w:r w:rsidR="00DD0C81" w:rsidRPr="00DD0C81">
        <w:rPr>
          <w:rFonts w:eastAsia="Times New Roman" w:cstheme="minorHAnsi"/>
          <w:noProof/>
          <w:sz w:val="20"/>
          <w:szCs w:val="20"/>
          <w:lang w:eastAsia="hu-HU"/>
        </w:rPr>
        <w:drawing>
          <wp:inline distT="0" distB="0" distL="0" distR="0">
            <wp:extent cx="288714" cy="288500"/>
            <wp:effectExtent l="0" t="0" r="0" b="0"/>
            <wp:docPr id="2" name="Kép 2" descr="C:\Users\sandor.zsok\Desktop\drive\Drive\A Business\A Suntec Hungary\Suppliers\Gekatex\GHS07-Piktogram-zagrożen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or.zsok\Desktop\drive\Drive\A Business\A Suntec Hungary\Suppliers\Gekatex\GHS07-Piktogram-zagrożeni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4" cy="30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BA9">
        <w:rPr>
          <w:rFonts w:eastAsia="Times New Roman" w:cstheme="minorHAnsi"/>
          <w:sz w:val="20"/>
          <w:szCs w:val="20"/>
          <w:lang w:eastAsia="hu-HU"/>
        </w:rPr>
        <w:t>GHS02</w:t>
      </w:r>
      <w:r w:rsidR="00DD0C81" w:rsidRPr="00DD0C81">
        <w:rPr>
          <w:rFonts w:eastAsia="Times New Roman" w:cstheme="minorHAnsi"/>
          <w:noProof/>
          <w:sz w:val="20"/>
          <w:szCs w:val="20"/>
          <w:lang w:eastAsia="hu-HU"/>
        </w:rPr>
        <w:drawing>
          <wp:inline distT="0" distB="0" distL="0" distR="0">
            <wp:extent cx="312950" cy="313182"/>
            <wp:effectExtent l="0" t="0" r="0" b="0"/>
            <wp:docPr id="3" name="Kép 3" descr="C:\Users\sandor.zsok\Desktop\drive\Drive\A Business\A Suntec Hungary\Suppliers\Gekatex\GHS02-Piktogram-zagrożen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r.zsok\Desktop\drive\Drive\A Business\A Suntec Hungary\Suppliers\Gekatex\GHS02-Piktogram-zagrożeni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8" cy="3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JELZŐSZÓ: Figyelmeztetés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VESZÉLY MONDATOK: H228 – Tűzveszélyes szilárd anyag.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H319 – Súlyos szemirritációt okoz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H336 – Álmosságot vagy szédülést okozhat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ÓVINTÉZKEDÉS MONDATOK P210 - Hőtől/szikrától/nyílt lángtól/forró felületektől távol tartandó. Nem</w:t>
      </w:r>
      <w:r>
        <w:rPr>
          <w:rFonts w:eastAsia="Times New Roman" w:cstheme="minorHAnsi"/>
          <w:sz w:val="20"/>
          <w:szCs w:val="20"/>
          <w:lang w:eastAsia="hu-HU"/>
        </w:rPr>
        <w:t xml:space="preserve"> szabad a közelében dohányozni.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P261 - Kerülje a por/füst/gáz/köd/gőzök/permet belélegzését.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P280 - Védőkesztyűt és védőszem</w:t>
      </w:r>
      <w:r>
        <w:rPr>
          <w:rFonts w:eastAsia="Times New Roman" w:cstheme="minorHAnsi"/>
          <w:sz w:val="20"/>
          <w:szCs w:val="20"/>
          <w:lang w:eastAsia="hu-HU"/>
        </w:rPr>
        <w:t>üveget</w:t>
      </w:r>
      <w:r w:rsidRPr="003F7BA9">
        <w:rPr>
          <w:rFonts w:eastAsia="Times New Roman" w:cstheme="minorHAnsi"/>
          <w:sz w:val="20"/>
          <w:szCs w:val="20"/>
          <w:lang w:eastAsia="hu-HU"/>
        </w:rPr>
        <w:t>-/arcvédőt kell viselni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P304+P340+P312- Belélegzés esetén: A sérültet v</w:t>
      </w:r>
      <w:r>
        <w:rPr>
          <w:rFonts w:eastAsia="Times New Roman" w:cstheme="minorHAnsi"/>
          <w:sz w:val="20"/>
          <w:szCs w:val="20"/>
          <w:lang w:eastAsia="hu-HU"/>
        </w:rPr>
        <w:t xml:space="preserve">igyük friss levegőre és </w:t>
      </w:r>
      <w:r w:rsidRPr="003F7BA9">
        <w:rPr>
          <w:rFonts w:eastAsia="Times New Roman" w:cstheme="minorHAnsi"/>
          <w:sz w:val="20"/>
          <w:szCs w:val="20"/>
          <w:lang w:eastAsia="hu-HU"/>
        </w:rPr>
        <w:t>pihenjen olyan helyzetben, hogy kény</w:t>
      </w:r>
      <w:r>
        <w:rPr>
          <w:rFonts w:eastAsia="Times New Roman" w:cstheme="minorHAnsi"/>
          <w:sz w:val="20"/>
          <w:szCs w:val="20"/>
          <w:lang w:eastAsia="hu-HU"/>
        </w:rPr>
        <w:t>elmesen tudjon lélegezni; hívja a</w:t>
      </w:r>
      <w:r w:rsidRPr="003F7BA9">
        <w:rPr>
          <w:rFonts w:eastAsia="Times New Roman" w:cstheme="minorHAnsi"/>
          <w:sz w:val="20"/>
          <w:szCs w:val="20"/>
          <w:lang w:eastAsia="hu-HU"/>
        </w:rPr>
        <w:t xml:space="preserve"> TOXIKOLÓGIAI </w:t>
      </w:r>
      <w:r>
        <w:rPr>
          <w:rFonts w:eastAsia="Times New Roman" w:cstheme="minorHAnsi"/>
          <w:sz w:val="20"/>
          <w:szCs w:val="20"/>
          <w:lang w:eastAsia="hu-HU"/>
        </w:rPr>
        <w:t>KÖZPONTOT vagy az orvost.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P305+P351+P338 - Ha szembe kerül:</w:t>
      </w:r>
      <w:r>
        <w:rPr>
          <w:rFonts w:eastAsia="Times New Roman" w:cstheme="minorHAnsi"/>
          <w:sz w:val="20"/>
          <w:szCs w:val="20"/>
          <w:lang w:eastAsia="hu-HU"/>
        </w:rPr>
        <w:t xml:space="preserve"> Óvatosan öblítse ki vízzel hosszabb ideig. </w:t>
      </w:r>
      <w:r w:rsidRPr="003F7BA9">
        <w:rPr>
          <w:rFonts w:eastAsia="Times New Roman" w:cstheme="minorHAnsi"/>
          <w:sz w:val="20"/>
          <w:szCs w:val="20"/>
          <w:lang w:eastAsia="hu-HU"/>
        </w:rPr>
        <w:t>Távolítsa el a kontaktlencséke</w:t>
      </w:r>
      <w:r>
        <w:rPr>
          <w:rFonts w:eastAsia="Times New Roman" w:cstheme="minorHAnsi"/>
          <w:sz w:val="20"/>
          <w:szCs w:val="20"/>
          <w:lang w:eastAsia="hu-HU"/>
        </w:rPr>
        <w:t xml:space="preserve">t, ha van. Folytassa az </w:t>
      </w:r>
      <w:r w:rsidRPr="003F7BA9">
        <w:rPr>
          <w:rFonts w:eastAsia="Times New Roman" w:cstheme="minorHAnsi"/>
          <w:sz w:val="20"/>
          <w:szCs w:val="20"/>
          <w:lang w:eastAsia="hu-HU"/>
        </w:rPr>
        <w:t>öblítés</w:t>
      </w:r>
      <w:r>
        <w:rPr>
          <w:rFonts w:eastAsia="Times New Roman" w:cstheme="minorHAnsi"/>
          <w:sz w:val="20"/>
          <w:szCs w:val="20"/>
          <w:lang w:eastAsia="hu-HU"/>
        </w:rPr>
        <w:t>t</w:t>
      </w:r>
      <w:r w:rsidRPr="003F7BA9">
        <w:rPr>
          <w:rFonts w:eastAsia="Times New Roman" w:cstheme="minorHAnsi"/>
          <w:sz w:val="20"/>
          <w:szCs w:val="20"/>
          <w:lang w:eastAsia="hu-HU"/>
        </w:rPr>
        <w:t>.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P273 - Kerülni kell a környezetbe jutást</w:t>
      </w:r>
    </w:p>
    <w:p w:rsidR="003F7BA9" w:rsidRPr="003F7BA9" w:rsidRDefault="00DC5BC3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Vegyszer</w:t>
      </w:r>
      <w:r w:rsidR="003F7BA9">
        <w:rPr>
          <w:rFonts w:eastAsia="Times New Roman" w:cstheme="minorHAnsi"/>
          <w:sz w:val="20"/>
          <w:szCs w:val="20"/>
          <w:lang w:eastAsia="hu-HU"/>
        </w:rPr>
        <w:t xml:space="preserve"> címke:</w:t>
      </w:r>
      <w:r w:rsidR="003F7BA9" w:rsidRPr="003F7BA9">
        <w:rPr>
          <w:rFonts w:eastAsia="Times New Roman" w:cstheme="minorHAnsi"/>
          <w:sz w:val="20"/>
          <w:szCs w:val="20"/>
          <w:lang w:eastAsia="hu-HU"/>
        </w:rPr>
        <w:t xml:space="preserve"> Oldószer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lastRenderedPageBreak/>
        <w:t>2.3. Egyéb veszélyek</w:t>
      </w:r>
    </w:p>
    <w:p w:rsidR="003F7BA9" w:rsidRPr="003F7BA9" w:rsidRDefault="003F7BA9" w:rsidP="003F7B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3F7BA9">
        <w:rPr>
          <w:rFonts w:eastAsia="Times New Roman" w:cstheme="minorHAnsi"/>
          <w:sz w:val="20"/>
          <w:szCs w:val="20"/>
          <w:lang w:eastAsia="hu-HU"/>
        </w:rPr>
        <w:t>Az anyagban lévő oldószer statikus töltéseket halmozhat fel, amelyek gyulladást okoz</w:t>
      </w:r>
      <w:r>
        <w:rPr>
          <w:rFonts w:eastAsia="Times New Roman" w:cstheme="minorHAnsi"/>
          <w:sz w:val="20"/>
          <w:szCs w:val="20"/>
          <w:lang w:eastAsia="hu-HU"/>
        </w:rPr>
        <w:t xml:space="preserve">hatnak. Az anyagból felszabadulhatnak </w:t>
      </w:r>
      <w:r w:rsidRPr="003F7BA9">
        <w:rPr>
          <w:rFonts w:eastAsia="Times New Roman" w:cstheme="minorHAnsi"/>
          <w:sz w:val="20"/>
          <w:szCs w:val="20"/>
          <w:lang w:eastAsia="hu-HU"/>
        </w:rPr>
        <w:t>gőzök, amelyek könnyen gyúlékony keveréket képeznek. A felgyü</w:t>
      </w:r>
      <w:r w:rsidR="005F52FC">
        <w:rPr>
          <w:rFonts w:eastAsia="Times New Roman" w:cstheme="minorHAnsi"/>
          <w:sz w:val="20"/>
          <w:szCs w:val="20"/>
          <w:lang w:eastAsia="hu-HU"/>
        </w:rPr>
        <w:t>lemlett gőz</w:t>
      </w:r>
      <w:r w:rsidRPr="003F7BA9">
        <w:rPr>
          <w:rFonts w:eastAsia="Times New Roman" w:cstheme="minorHAnsi"/>
          <w:sz w:val="20"/>
          <w:szCs w:val="20"/>
          <w:lang w:eastAsia="hu-HU"/>
        </w:rPr>
        <w:t xml:space="preserve"> felrobbanhat, ha meggyújtják.</w:t>
      </w:r>
    </w:p>
    <w:p w:rsidR="005F52FC" w:rsidRDefault="005F52FC" w:rsidP="00AD3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3. ÖSSZETÉTEL / összetevőkre vonatkozó információk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3.1. Anyagok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3.2. Keverékek</w:t>
      </w:r>
    </w:p>
    <w:p w:rsid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F52FC" w:rsidTr="005F52FC">
        <w:trPr>
          <w:trHeight w:val="881"/>
        </w:trPr>
        <w:tc>
          <w:tcPr>
            <w:tcW w:w="1510" w:type="dxa"/>
          </w:tcPr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CAS</w:t>
            </w:r>
          </w:p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Szám</w:t>
            </w:r>
          </w:p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CE szám</w:t>
            </w: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Százalék</w:t>
            </w: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IUPAC név</w:t>
            </w:r>
          </w:p>
        </w:tc>
        <w:tc>
          <w:tcPr>
            <w:tcW w:w="1511" w:type="dxa"/>
          </w:tcPr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REACH regisztráció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szám</w:t>
            </w:r>
          </w:p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Osztályozás CE1272/2008</w:t>
            </w:r>
          </w:p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(1)</w:t>
            </w:r>
          </w:p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F52FC" w:rsidTr="005F52FC"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200-661-7</w:t>
            </w: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70%</w:t>
            </w:r>
          </w:p>
        </w:tc>
        <w:tc>
          <w:tcPr>
            <w:tcW w:w="1510" w:type="dxa"/>
          </w:tcPr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1" w:type="dxa"/>
          </w:tcPr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01-2119457558-</w:t>
            </w:r>
          </w:p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25-XXXX</w:t>
            </w:r>
          </w:p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Gyúlékony folyadék</w:t>
            </w: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2, H225</w:t>
            </w:r>
          </w:p>
          <w:p w:rsidR="005F52FC" w:rsidRP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Szem irritáció </w:t>
            </w: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2, H319</w:t>
            </w:r>
          </w:p>
          <w:p w:rsidR="005F52FC" w:rsidRDefault="005F52FC" w:rsidP="005F52F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F52FC">
              <w:rPr>
                <w:rFonts w:eastAsia="Times New Roman" w:cstheme="minorHAnsi"/>
                <w:sz w:val="20"/>
                <w:szCs w:val="20"/>
                <w:lang w:eastAsia="hu-HU"/>
              </w:rPr>
              <w:t>STOT SE3, H336</w:t>
            </w:r>
          </w:p>
        </w:tc>
      </w:tr>
    </w:tbl>
    <w:p w:rsidR="005F52FC" w:rsidRDefault="005F52FC" w:rsidP="005F52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4. Elsősegély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4.1. Az elsősegély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5F52FC">
        <w:rPr>
          <w:rFonts w:eastAsia="Times New Roman" w:cstheme="minorHAnsi"/>
          <w:sz w:val="20"/>
          <w:szCs w:val="20"/>
          <w:lang w:eastAsia="hu-HU"/>
        </w:rPr>
        <w:t>nyújtási intézkedések ismertetése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Belégzés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5F52FC">
        <w:rPr>
          <w:rFonts w:eastAsia="Times New Roman" w:cstheme="minorHAnsi"/>
          <w:sz w:val="20"/>
          <w:szCs w:val="20"/>
          <w:lang w:eastAsia="hu-HU"/>
        </w:rPr>
        <w:t>Normál munkahelyi hőmérsékleten alacsony belégzési veszélyt jelent.</w:t>
      </w:r>
    </w:p>
    <w:p w:rsidR="005F52FC" w:rsidRPr="005F52FC" w:rsidRDefault="005F52FC" w:rsidP="00A661A9">
      <w:pPr>
        <w:spacing w:after="0" w:line="240" w:lineRule="auto"/>
        <w:ind w:left="1416" w:firstLine="708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Forduljon orvoshoz, ha a tünetek súlyosak vagy tartósak.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Bőrrel való érintkezés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5F52FC">
        <w:rPr>
          <w:rFonts w:eastAsia="Times New Roman" w:cstheme="minorHAnsi"/>
          <w:sz w:val="20"/>
          <w:szCs w:val="20"/>
          <w:lang w:eastAsia="hu-HU"/>
        </w:rPr>
        <w:t>Bőrrel való érintkezés esetén azonnal öblítse le bő vízzel. Távolítsa el</w:t>
      </w:r>
    </w:p>
    <w:p w:rsidR="005F52FC" w:rsidRPr="005F52FC" w:rsidRDefault="005F52FC" w:rsidP="00A661A9">
      <w:pPr>
        <w:spacing w:after="0" w:line="240" w:lineRule="auto"/>
        <w:ind w:left="2124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 xml:space="preserve">a szennyezett ruházatot, és alaposan öblítse le a </w:t>
      </w:r>
      <w:r>
        <w:rPr>
          <w:rFonts w:eastAsia="Times New Roman" w:cstheme="minorHAnsi"/>
          <w:sz w:val="20"/>
          <w:szCs w:val="20"/>
          <w:lang w:eastAsia="hu-HU"/>
        </w:rPr>
        <w:t>bőrt vízzel. Forduljon orvoshoz, figyeljen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ha a tünetek súlyosak vagy tartósak.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Szemmel való érintkezés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Távolít</w:t>
      </w:r>
      <w:r>
        <w:rPr>
          <w:rFonts w:eastAsia="Times New Roman" w:cstheme="minorHAnsi"/>
          <w:sz w:val="20"/>
          <w:szCs w:val="20"/>
          <w:lang w:eastAsia="hu-HU"/>
        </w:rPr>
        <w:t>son el a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kontaktlencsét, és nyissa </w:t>
      </w:r>
      <w:r>
        <w:rPr>
          <w:rFonts w:eastAsia="Times New Roman" w:cstheme="minorHAnsi"/>
          <w:sz w:val="20"/>
          <w:szCs w:val="20"/>
          <w:lang w:eastAsia="hu-HU"/>
        </w:rPr>
        <w:t>fel a szemhéjakat</w:t>
      </w:r>
      <w:r w:rsidRPr="005F52FC">
        <w:rPr>
          <w:rFonts w:eastAsia="Times New Roman" w:cstheme="minorHAnsi"/>
          <w:sz w:val="20"/>
          <w:szCs w:val="20"/>
          <w:lang w:eastAsia="hu-HU"/>
        </w:rPr>
        <w:t>. Öblítse le vízzel.</w:t>
      </w:r>
    </w:p>
    <w:p w:rsidR="005F52FC" w:rsidRPr="005F52FC" w:rsidRDefault="005F52FC" w:rsidP="00A661A9">
      <w:pPr>
        <w:spacing w:after="0" w:line="240" w:lineRule="auto"/>
        <w:ind w:left="1416" w:firstLine="708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Folytassa az öblítést legalább 15 percig, és forduljon orvoshoz.</w:t>
      </w:r>
    </w:p>
    <w:p w:rsidR="005F52FC" w:rsidRPr="005F52FC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5F52FC">
        <w:rPr>
          <w:rFonts w:eastAsia="Times New Roman" w:cstheme="minorHAnsi"/>
          <w:sz w:val="20"/>
          <w:szCs w:val="20"/>
          <w:lang w:eastAsia="hu-HU"/>
        </w:rPr>
        <w:t>Lenyelés esetén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5F52FC"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="00A661A9">
        <w:rPr>
          <w:rFonts w:eastAsia="Times New Roman" w:cstheme="minorHAnsi"/>
          <w:sz w:val="20"/>
          <w:szCs w:val="20"/>
          <w:lang w:eastAsia="hu-HU"/>
        </w:rPr>
        <w:tab/>
      </w:r>
      <w:r w:rsidRPr="005F52FC">
        <w:rPr>
          <w:rFonts w:eastAsia="Times New Roman" w:cstheme="minorHAnsi"/>
          <w:sz w:val="20"/>
          <w:szCs w:val="20"/>
          <w:lang w:eastAsia="hu-HU"/>
        </w:rPr>
        <w:t>Ne hánytasson. A szájat alaposan öblíts</w:t>
      </w:r>
      <w:r>
        <w:rPr>
          <w:rFonts w:eastAsia="Times New Roman" w:cstheme="minorHAnsi"/>
          <w:sz w:val="20"/>
          <w:szCs w:val="20"/>
          <w:lang w:eastAsia="hu-HU"/>
        </w:rPr>
        <w:t xml:space="preserve">e ki vízzel. Azonnal kérjen </w:t>
      </w:r>
      <w:r w:rsidRPr="005F52FC">
        <w:rPr>
          <w:rFonts w:eastAsia="Times New Roman" w:cstheme="minorHAnsi"/>
          <w:sz w:val="20"/>
          <w:szCs w:val="20"/>
          <w:lang w:eastAsia="hu-HU"/>
        </w:rPr>
        <w:t>orvosi ellátás</w:t>
      </w:r>
      <w:r>
        <w:rPr>
          <w:rFonts w:eastAsia="Times New Roman" w:cstheme="minorHAnsi"/>
          <w:sz w:val="20"/>
          <w:szCs w:val="20"/>
          <w:lang w:eastAsia="hu-HU"/>
        </w:rPr>
        <w:t>t</w:t>
      </w:r>
      <w:r w:rsidRPr="005F52FC">
        <w:rPr>
          <w:rFonts w:eastAsia="Times New Roman" w:cstheme="minorHAnsi"/>
          <w:sz w:val="20"/>
          <w:szCs w:val="20"/>
          <w:lang w:eastAsia="hu-HU"/>
        </w:rPr>
        <w:t>.</w:t>
      </w:r>
    </w:p>
    <w:p w:rsidR="00AD353C" w:rsidRDefault="00AD353C" w:rsidP="005F52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5F52FC" w:rsidRPr="00A661A9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4.2. A legfontosabb – akut és késleltetett – tünetek és hatások</w:t>
      </w:r>
    </w:p>
    <w:p w:rsidR="005F52FC" w:rsidRPr="00A661A9" w:rsidRDefault="005F52FC" w:rsidP="005F52FC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A gőzök nagy koncentrációban történő belélegzése olyan tüneteket okozhat, mint pl</w:t>
      </w:r>
      <w:r w:rsidR="00A661A9">
        <w:rPr>
          <w:rFonts w:eastAsia="Times New Roman" w:cstheme="minorHAnsi"/>
          <w:sz w:val="20"/>
          <w:szCs w:val="20"/>
          <w:lang w:eastAsia="hu-HU"/>
        </w:rPr>
        <w:t xml:space="preserve">.: </w:t>
      </w:r>
      <w:r w:rsidRPr="00A661A9">
        <w:rPr>
          <w:rFonts w:eastAsia="Times New Roman" w:cstheme="minorHAnsi"/>
          <w:sz w:val="20"/>
          <w:szCs w:val="20"/>
          <w:lang w:eastAsia="hu-HU"/>
        </w:rPr>
        <w:t>fejfájás, szédülés, fáradtság, hányinger és hányás</w:t>
      </w:r>
    </w:p>
    <w:p w:rsidR="005F52FC" w:rsidRPr="00AD353C" w:rsidRDefault="005F52FC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 xml:space="preserve">4.3. </w:t>
      </w:r>
      <w:r w:rsidR="00A661A9">
        <w:rPr>
          <w:rFonts w:eastAsia="Times New Roman" w:cstheme="minorHAnsi"/>
          <w:sz w:val="20"/>
          <w:szCs w:val="20"/>
          <w:lang w:eastAsia="hu-HU"/>
        </w:rPr>
        <w:t xml:space="preserve">Bármi fent felsorolt tünet jelentkezik, 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azonnali orvosi ellátás </w:t>
      </w:r>
      <w:r w:rsidR="00A661A9" w:rsidRPr="00A661A9">
        <w:rPr>
          <w:rFonts w:eastAsia="Times New Roman" w:cstheme="minorHAnsi"/>
          <w:sz w:val="20"/>
          <w:szCs w:val="20"/>
          <w:lang w:eastAsia="hu-HU"/>
        </w:rPr>
        <w:t>szükséges</w:t>
      </w:r>
      <w:r w:rsidR="00A661A9">
        <w:rPr>
          <w:rFonts w:eastAsia="Times New Roman" w:cstheme="minorHAnsi"/>
          <w:sz w:val="20"/>
          <w:szCs w:val="20"/>
          <w:lang w:eastAsia="hu-HU"/>
        </w:rPr>
        <w:t>.</w:t>
      </w:r>
      <w:r w:rsidR="00A661A9" w:rsidRPr="00A661A9">
        <w:rPr>
          <w:rFonts w:eastAsia="Times New Roman" w:cstheme="minorHAnsi"/>
          <w:sz w:val="20"/>
          <w:szCs w:val="20"/>
          <w:lang w:eastAsia="hu-HU"/>
        </w:rPr>
        <w:t xml:space="preserve"> </w:t>
      </w:r>
    </w:p>
    <w:p w:rsidR="00A661A9" w:rsidRDefault="00A661A9" w:rsidP="00AD35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5. Tűzvédelmi intézkedések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5.1. Oltóanyag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Használjon a környező tűz oltására alkalmas tűzoltóanyagot.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5.2. Az anyagból vagy a keverékből származó különleges veszélyek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S</w:t>
      </w:r>
      <w:r w:rsidRPr="00A661A9">
        <w:rPr>
          <w:rFonts w:eastAsia="Times New Roman" w:cstheme="minorHAnsi"/>
          <w:sz w:val="20"/>
          <w:szCs w:val="20"/>
          <w:lang w:eastAsia="hu-HU"/>
        </w:rPr>
        <w:t>zerves</w:t>
      </w:r>
      <w:r>
        <w:rPr>
          <w:rFonts w:eastAsia="Times New Roman" w:cstheme="minorHAnsi"/>
          <w:sz w:val="20"/>
          <w:szCs w:val="20"/>
          <w:lang w:eastAsia="hu-HU"/>
        </w:rPr>
        <w:t xml:space="preserve"> anyagokkal a tűz vastag fekete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 xml:space="preserve">füstöt </w:t>
      </w:r>
      <w:r w:rsidRPr="00A661A9">
        <w:rPr>
          <w:rFonts w:eastAsia="Times New Roman" w:cstheme="minorHAnsi"/>
          <w:sz w:val="20"/>
          <w:szCs w:val="20"/>
          <w:lang w:eastAsia="hu-HU"/>
        </w:rPr>
        <w:t>eredményez</w:t>
      </w:r>
      <w:r>
        <w:rPr>
          <w:rFonts w:eastAsia="Times New Roman" w:cstheme="minorHAnsi"/>
          <w:sz w:val="20"/>
          <w:szCs w:val="20"/>
          <w:lang w:eastAsia="hu-HU"/>
        </w:rPr>
        <w:t>het.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A füst beléleg</w:t>
      </w:r>
      <w:r>
        <w:rPr>
          <w:rFonts w:eastAsia="Times New Roman" w:cstheme="minorHAnsi"/>
          <w:sz w:val="20"/>
          <w:szCs w:val="20"/>
          <w:lang w:eastAsia="hu-HU"/>
        </w:rPr>
        <w:t xml:space="preserve">zése káros lehet az egészségre. </w:t>
      </w:r>
      <w:r w:rsidRPr="00A661A9">
        <w:rPr>
          <w:rFonts w:eastAsia="Times New Roman" w:cstheme="minorHAnsi"/>
          <w:sz w:val="20"/>
          <w:szCs w:val="20"/>
          <w:lang w:eastAsia="hu-HU"/>
        </w:rPr>
        <w:t>Ne lélegezze be a füstöt.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5.3. Tanácsok tűzoltóknak</w:t>
      </w:r>
    </w:p>
    <w:p w:rsidR="00A661A9" w:rsidRPr="00B15DD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Viseljen pozitív nyomású ö</w:t>
      </w:r>
      <w:r>
        <w:rPr>
          <w:rFonts w:eastAsia="Times New Roman" w:cstheme="minorHAnsi"/>
          <w:sz w:val="20"/>
          <w:szCs w:val="20"/>
          <w:lang w:eastAsia="hu-HU"/>
        </w:rPr>
        <w:t xml:space="preserve">nálló légzőkészüléket (SCBA) és </w:t>
      </w:r>
      <w:r w:rsidRPr="00A661A9">
        <w:rPr>
          <w:rFonts w:eastAsia="Times New Roman" w:cstheme="minorHAnsi"/>
          <w:sz w:val="20"/>
          <w:szCs w:val="20"/>
          <w:lang w:eastAsia="hu-HU"/>
        </w:rPr>
        <w:t>megfelelő védőruházat</w:t>
      </w:r>
      <w:r>
        <w:rPr>
          <w:rFonts w:eastAsia="Times New Roman" w:cstheme="minorHAnsi"/>
          <w:sz w:val="20"/>
          <w:szCs w:val="20"/>
          <w:lang w:eastAsia="hu-HU"/>
        </w:rPr>
        <w:t>ot</w:t>
      </w:r>
      <w:r w:rsidRPr="00A661A9">
        <w:rPr>
          <w:rFonts w:eastAsia="Times New Roman" w:cstheme="minorHAnsi"/>
          <w:sz w:val="20"/>
          <w:szCs w:val="20"/>
          <w:lang w:eastAsia="hu-HU"/>
        </w:rPr>
        <w:t>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6. Intézke</w:t>
      </w:r>
      <w:r w:rsidR="00DC5BC3">
        <w:rPr>
          <w:rFonts w:eastAsia="Times New Roman" w:cstheme="minorHAnsi"/>
          <w:sz w:val="20"/>
          <w:szCs w:val="20"/>
          <w:lang w:eastAsia="hu-HU"/>
        </w:rPr>
        <w:t>dések véletlenszerű kiömlésnél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6.1. Személyi óvintézkedések, védőeszközök és vészhelyzeti eljárások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Viseljen védőruházatot a jelen biztonsági adatlap 8. szakaszában leírtak szerint.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6.2. Környezetvédelmi óvintézkedések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Kerülje el, hogy a k</w:t>
      </w:r>
      <w:r>
        <w:rPr>
          <w:rFonts w:eastAsia="Times New Roman" w:cstheme="minorHAnsi"/>
          <w:sz w:val="20"/>
          <w:szCs w:val="20"/>
          <w:lang w:eastAsia="hu-HU"/>
        </w:rPr>
        <w:t>iömlés vagy az elfolyás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Pr="00A661A9">
        <w:rPr>
          <w:rFonts w:eastAsia="Times New Roman" w:cstheme="minorHAnsi"/>
          <w:sz w:val="20"/>
          <w:szCs w:val="20"/>
          <w:lang w:eastAsia="hu-HU"/>
        </w:rPr>
        <w:t>csatornába vagy vízfo</w:t>
      </w:r>
      <w:r>
        <w:rPr>
          <w:rFonts w:eastAsia="Times New Roman" w:cstheme="minorHAnsi"/>
          <w:sz w:val="20"/>
          <w:szCs w:val="20"/>
          <w:lang w:eastAsia="hu-HU"/>
        </w:rPr>
        <w:t xml:space="preserve">lyásokba kerüljön. Tájékoztassa </w:t>
      </w:r>
      <w:r w:rsidRPr="00A661A9">
        <w:rPr>
          <w:rFonts w:eastAsia="Times New Roman" w:cstheme="minorHAnsi"/>
          <w:sz w:val="20"/>
          <w:szCs w:val="20"/>
          <w:lang w:eastAsia="hu-HU"/>
        </w:rPr>
        <w:t>az illetékes hatóságokat, ha környeze</w:t>
      </w:r>
      <w:r>
        <w:rPr>
          <w:rFonts w:eastAsia="Times New Roman" w:cstheme="minorHAnsi"/>
          <w:sz w:val="20"/>
          <w:szCs w:val="20"/>
          <w:lang w:eastAsia="hu-HU"/>
        </w:rPr>
        <w:t xml:space="preserve">tszennyezés történik (csatorna, </w:t>
      </w:r>
      <w:r w:rsidRPr="00A661A9">
        <w:rPr>
          <w:rFonts w:eastAsia="Times New Roman" w:cstheme="minorHAnsi"/>
          <w:sz w:val="20"/>
          <w:szCs w:val="20"/>
          <w:lang w:eastAsia="hu-HU"/>
        </w:rPr>
        <w:t>vízi utak, talaj vagy levegő).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6.3. A területi elhatárolás és a szennyezés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A661A9">
        <w:rPr>
          <w:rFonts w:eastAsia="Times New Roman" w:cstheme="minorHAnsi"/>
          <w:sz w:val="20"/>
          <w:szCs w:val="20"/>
          <w:lang w:eastAsia="hu-HU"/>
        </w:rPr>
        <w:t>mentesítés módszerei és anyagai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A kiömlött anyagot homokkal vagy más inert nedvszívóval itassuk fel. A kiöml</w:t>
      </w:r>
      <w:r>
        <w:rPr>
          <w:rFonts w:eastAsia="Times New Roman" w:cstheme="minorHAnsi"/>
          <w:sz w:val="20"/>
          <w:szCs w:val="20"/>
          <w:lang w:eastAsia="hu-HU"/>
        </w:rPr>
        <w:t>ött anyagot össze kell gyűjteni újrahasznosításra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vagy zárt tartá</w:t>
      </w:r>
      <w:r>
        <w:rPr>
          <w:rFonts w:eastAsia="Times New Roman" w:cstheme="minorHAnsi"/>
          <w:sz w:val="20"/>
          <w:szCs w:val="20"/>
          <w:lang w:eastAsia="hu-HU"/>
        </w:rPr>
        <w:t>lyokban történő ártalmatlanításra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engedéllyel rendelkező hulladék</w:t>
      </w:r>
      <w:r>
        <w:rPr>
          <w:rFonts w:eastAsia="Times New Roman" w:cstheme="minorHAnsi"/>
          <w:sz w:val="20"/>
          <w:szCs w:val="20"/>
          <w:lang w:eastAsia="hu-HU"/>
        </w:rPr>
        <w:t>kezelő cégen</w:t>
      </w:r>
      <w:r w:rsidRPr="00A661A9">
        <w:rPr>
          <w:rFonts w:eastAsia="Times New Roman" w:cstheme="minorHAnsi"/>
          <w:sz w:val="20"/>
          <w:szCs w:val="20"/>
          <w:lang w:eastAsia="hu-HU"/>
        </w:rPr>
        <w:t xml:space="preserve"> keresztül.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lastRenderedPageBreak/>
        <w:t>Öblítse le a szennyezett területet bő vízzel.</w:t>
      </w:r>
    </w:p>
    <w:p w:rsidR="00AD353C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6.4. Hivatkozás más szakaszokra</w:t>
      </w:r>
      <w:r w:rsidR="00AD353C" w:rsidRPr="00AD353C">
        <w:rPr>
          <w:rFonts w:eastAsia="Times New Roman" w:cstheme="minorHAnsi"/>
          <w:sz w:val="20"/>
          <w:szCs w:val="20"/>
          <w:lang w:eastAsia="hu-HU"/>
        </w:rPr>
        <w:br/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7. Kezelés és tárolás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7.1. Óvintézkedések a biztonságos kezeléshez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Viseljen védőruházatot a jelen biztonsági adatok 7. és</w:t>
      </w:r>
      <w:r>
        <w:rPr>
          <w:rFonts w:eastAsia="Times New Roman" w:cstheme="minorHAnsi"/>
          <w:sz w:val="20"/>
          <w:szCs w:val="20"/>
          <w:lang w:eastAsia="hu-HU"/>
        </w:rPr>
        <w:t xml:space="preserve"> 8. szakaszában leírtak szerint.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7.2. A biztonságos tárolás feltételei, az esetleges összeférhetetlenséggel együtt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Gyermekek elől elzárva tartandó. Tárolja távol a következő anyagoktól:</w:t>
      </w:r>
    </w:p>
    <w:p w:rsidR="00A661A9" w:rsidRP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Savak. Erős oxidálószerek.</w:t>
      </w:r>
    </w:p>
    <w:p w:rsidR="00A661A9" w:rsidRDefault="00A661A9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661A9">
        <w:rPr>
          <w:rFonts w:eastAsia="Times New Roman" w:cstheme="minorHAnsi"/>
          <w:sz w:val="20"/>
          <w:szCs w:val="20"/>
          <w:lang w:eastAsia="hu-HU"/>
        </w:rPr>
        <w:t>7.3. Meghatározott végfelhasználás</w:t>
      </w:r>
    </w:p>
    <w:p w:rsidR="00EE2267" w:rsidRPr="00EE2267" w:rsidRDefault="00AD353C" w:rsidP="00EE2267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D353C">
        <w:rPr>
          <w:rFonts w:eastAsia="Times New Roman" w:cstheme="minorHAnsi"/>
          <w:sz w:val="20"/>
          <w:szCs w:val="20"/>
          <w:lang w:eastAsia="hu-HU"/>
        </w:rPr>
        <w:br/>
      </w:r>
      <w:r w:rsidR="00EE2267" w:rsidRPr="00EE2267">
        <w:rPr>
          <w:rFonts w:eastAsia="Times New Roman" w:cstheme="minorHAnsi"/>
          <w:sz w:val="20"/>
          <w:szCs w:val="20"/>
          <w:lang w:eastAsia="hu-HU"/>
        </w:rPr>
        <w:t>8. Az expozíció ellenőrzése/egyéni védelem</w:t>
      </w:r>
    </w:p>
    <w:p w:rsidR="00A661A9" w:rsidRDefault="00EE2267" w:rsidP="00EE2267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EE2267">
        <w:rPr>
          <w:rFonts w:eastAsia="Times New Roman" w:cstheme="minorHAnsi"/>
          <w:sz w:val="20"/>
          <w:szCs w:val="20"/>
          <w:lang w:eastAsia="hu-HU"/>
        </w:rPr>
        <w:t>8.1. Szabályozási paraméterek</w:t>
      </w:r>
      <w:r w:rsidR="00AD353C" w:rsidRPr="00AD353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EE2267" w:rsidRPr="00EE2267" w:rsidRDefault="00EE2267" w:rsidP="00A661A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E2267">
        <w:rPr>
          <w:rFonts w:eastAsia="Times New Roman" w:cstheme="minorHAnsi"/>
          <w:sz w:val="20"/>
          <w:szCs w:val="20"/>
          <w:lang w:eastAsia="hu-HU"/>
        </w:rPr>
        <w:t>Vegyi komponens foglalkozási expozíciós határértékekkel: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61A9" w:rsidTr="00A661A9"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CAS-szám</w:t>
            </w:r>
          </w:p>
        </w:tc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IUPAC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VME (ppm)</w:t>
            </w:r>
          </w:p>
        </w:tc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VME (mg/m3)</w:t>
            </w:r>
          </w:p>
        </w:tc>
        <w:tc>
          <w:tcPr>
            <w:tcW w:w="1511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VLE (ppm)</w:t>
            </w:r>
          </w:p>
        </w:tc>
        <w:tc>
          <w:tcPr>
            <w:tcW w:w="1511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VLE (mg/m3)</w:t>
            </w:r>
          </w:p>
        </w:tc>
      </w:tr>
      <w:tr w:rsidR="00A661A9" w:rsidTr="00A661A9"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A661A9" w:rsidRDefault="00DC5BC3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EE2267"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510" w:type="dxa"/>
          </w:tcPr>
          <w:p w:rsidR="00A661A9" w:rsidRDefault="00DC5BC3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490</w:t>
            </w:r>
          </w:p>
        </w:tc>
        <w:tc>
          <w:tcPr>
            <w:tcW w:w="1511" w:type="dxa"/>
          </w:tcPr>
          <w:p w:rsidR="00A661A9" w:rsidRDefault="00EE2267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511" w:type="dxa"/>
          </w:tcPr>
          <w:p w:rsidR="00EE2267" w:rsidRP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980</w:t>
            </w:r>
          </w:p>
          <w:p w:rsidR="00A661A9" w:rsidRDefault="00A661A9" w:rsidP="00A66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E2267" w:rsidRPr="00EE2267" w:rsidRDefault="00AD353C" w:rsidP="00EE2267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D353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E2267" w:rsidTr="00EE2267"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CAS-szám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IUPAC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DNEL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Felhasználó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expozíció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hatás</w:t>
            </w:r>
          </w:p>
        </w:tc>
      </w:tr>
      <w:tr w:rsidR="00EE2267" w:rsidTr="00EE2267"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319 mg/kg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Dolgozók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Bőr</w:t>
            </w:r>
          </w:p>
        </w:tc>
        <w:tc>
          <w:tcPr>
            <w:tcW w:w="1511" w:type="dxa"/>
          </w:tcPr>
          <w:p w:rsidR="00EE2267" w:rsidRP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Szisztematikus</w:t>
            </w: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hatás</w:t>
            </w:r>
          </w:p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E2267" w:rsidTr="00EE2267"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89 mg/m3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Dolgozók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Belélegzés</w:t>
            </w:r>
          </w:p>
        </w:tc>
        <w:tc>
          <w:tcPr>
            <w:tcW w:w="1511" w:type="dxa"/>
          </w:tcPr>
          <w:p w:rsidR="00EE2267" w:rsidRP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Szisztematikus</w:t>
            </w: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hatás</w:t>
            </w:r>
          </w:p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EE2267" w:rsidTr="00EE2267"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26 mg/kg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Dolgozók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Lenyelés</w:t>
            </w:r>
          </w:p>
        </w:tc>
        <w:tc>
          <w:tcPr>
            <w:tcW w:w="1511" w:type="dxa"/>
          </w:tcPr>
          <w:p w:rsidR="00EE2267" w:rsidRP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Szisztematikus</w:t>
            </w: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hatás</w:t>
            </w:r>
          </w:p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:rsidR="00EE2267" w:rsidRPr="00EE2267" w:rsidRDefault="00EE2267" w:rsidP="00EE2267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E2267" w:rsidTr="00EE2267"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CAS szám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IUPAC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510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PNEC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Élőlények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Környezet</w:t>
            </w:r>
          </w:p>
        </w:tc>
        <w:tc>
          <w:tcPr>
            <w:tcW w:w="1511" w:type="dxa"/>
          </w:tcPr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Expozíció</w:t>
            </w:r>
          </w:p>
        </w:tc>
      </w:tr>
      <w:tr w:rsidR="00EE2267" w:rsidTr="00EE2267"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140,9 mg/l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Vízi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Víz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  <w:tr w:rsidR="00EE2267" w:rsidTr="00EE2267"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140,9 mg/l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Vízi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Tengervíz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  <w:tr w:rsidR="00EE2267" w:rsidTr="00EE2267"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2251 mg/l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Vízi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Szennyvíz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  <w:tr w:rsidR="00EE2267" w:rsidTr="00EE2267"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552 mg/l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Vízi</w:t>
            </w:r>
          </w:p>
        </w:tc>
        <w:tc>
          <w:tcPr>
            <w:tcW w:w="1511" w:type="dxa"/>
          </w:tcPr>
          <w:p w:rsidR="00E83AA2" w:rsidRPr="00EE2267" w:rsidRDefault="00E83AA2" w:rsidP="00E83A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Édesvízi üledék</w:t>
            </w:r>
          </w:p>
          <w:p w:rsidR="00EE2267" w:rsidRDefault="00EE2267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  <w:tr w:rsidR="00DC5BC3" w:rsidTr="00EE2267">
        <w:tc>
          <w:tcPr>
            <w:tcW w:w="1510" w:type="dxa"/>
          </w:tcPr>
          <w:p w:rsidR="00DC5BC3" w:rsidRPr="00EE2267" w:rsidRDefault="00DC5BC3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DC5BC3" w:rsidRPr="00EE2267" w:rsidRDefault="00DC5BC3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DC5BC3" w:rsidRPr="00EE2267" w:rsidRDefault="00DC5BC3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28 mg/l</w:t>
            </w:r>
          </w:p>
        </w:tc>
        <w:tc>
          <w:tcPr>
            <w:tcW w:w="1510" w:type="dxa"/>
          </w:tcPr>
          <w:p w:rsidR="00DC5BC3" w:rsidRPr="00EE2267" w:rsidRDefault="00DC5BC3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Földi</w:t>
            </w:r>
          </w:p>
        </w:tc>
        <w:tc>
          <w:tcPr>
            <w:tcW w:w="1511" w:type="dxa"/>
          </w:tcPr>
          <w:p w:rsidR="00DC5BC3" w:rsidRDefault="00DC5BC3" w:rsidP="00E83AA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Föld</w:t>
            </w:r>
          </w:p>
        </w:tc>
        <w:tc>
          <w:tcPr>
            <w:tcW w:w="1511" w:type="dxa"/>
          </w:tcPr>
          <w:p w:rsidR="00DC5BC3" w:rsidRPr="00EE2267" w:rsidRDefault="00DC5BC3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  <w:tr w:rsidR="00EE2267" w:rsidTr="00EE2267"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552 mg/l</w:t>
            </w:r>
          </w:p>
        </w:tc>
        <w:tc>
          <w:tcPr>
            <w:tcW w:w="1510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Vízi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Tengeri üledék</w:t>
            </w:r>
          </w:p>
        </w:tc>
        <w:tc>
          <w:tcPr>
            <w:tcW w:w="1511" w:type="dxa"/>
          </w:tcPr>
          <w:p w:rsidR="00EE2267" w:rsidRDefault="00E83AA2" w:rsidP="00EE226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267">
              <w:rPr>
                <w:rFonts w:eastAsia="Times New Roman" w:cstheme="minorHAnsi"/>
                <w:sz w:val="20"/>
                <w:szCs w:val="20"/>
                <w:lang w:eastAsia="hu-HU"/>
              </w:rPr>
              <w:t>Rövid távú</w:t>
            </w:r>
          </w:p>
        </w:tc>
      </w:tr>
    </w:tbl>
    <w:p w:rsidR="00E83AA2" w:rsidRDefault="00E83AA2" w:rsidP="00AD353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u-HU"/>
        </w:rPr>
      </w:pP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8.2. Expozíció ellenőrzése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Tartsa be a vegyszerek használatára vonatkozó szabványos biztonsági óvintézkedéseket.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Az adott munkahelyre vonatkozó megfelelő védekezési intézkedések a ter</w:t>
      </w:r>
      <w:r>
        <w:rPr>
          <w:rFonts w:eastAsia="Times New Roman" w:cstheme="minorHAnsi"/>
          <w:sz w:val="20"/>
          <w:szCs w:val="20"/>
          <w:lang w:eastAsia="hu-HU"/>
        </w:rPr>
        <w:t>mék felhasználási módja miatt eltérhetnek.</w:t>
      </w:r>
      <w:r w:rsidRPr="00E83AA2">
        <w:rPr>
          <w:rFonts w:eastAsia="Times New Roman" w:cstheme="minorHAnsi"/>
          <w:sz w:val="20"/>
          <w:szCs w:val="20"/>
          <w:lang w:eastAsia="hu-HU"/>
        </w:rPr>
        <w:t>.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Az egyéni védőeszközök kiválasztása a lehetséges expozíciós körülményektől függően változik, mint pl</w:t>
      </w:r>
      <w:r>
        <w:rPr>
          <w:rFonts w:eastAsia="Times New Roman" w:cstheme="minorHAnsi"/>
          <w:sz w:val="20"/>
          <w:szCs w:val="20"/>
          <w:lang w:eastAsia="hu-HU"/>
        </w:rPr>
        <w:t>.</w:t>
      </w:r>
    </w:p>
    <w:p w:rsid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 xml:space="preserve">az </w:t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alkalmazások, kezelési gyakorlatok és </w:t>
      </w:r>
      <w:r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szellőztetés. 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Tájékoztatás a védőfelszerelés kiválasztásáról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 xml:space="preserve">Az alábbiakban ismertetett módon ezzel az anyaggal használható berendezés </w:t>
      </w:r>
      <w:r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Pr="00E83AA2">
        <w:rPr>
          <w:rFonts w:eastAsia="Times New Roman" w:cstheme="minorHAnsi"/>
          <w:sz w:val="20"/>
          <w:szCs w:val="20"/>
          <w:lang w:eastAsia="hu-HU"/>
        </w:rPr>
        <w:t>rendeltetésszerű, normál használaton alapul.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Szem-/arcvédelem</w:t>
      </w:r>
      <w:r>
        <w:rPr>
          <w:rFonts w:eastAsia="Times New Roman" w:cstheme="minorHAnsi"/>
          <w:sz w:val="20"/>
          <w:szCs w:val="20"/>
          <w:lang w:eastAsia="hu-HU"/>
        </w:rPr>
        <w:t xml:space="preserve">: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 Viseljen vegyi fröccsenés elleni védőszemüveget (EN 166 szabvány).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Kézvédelem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 Viseljen vegyi anyagok elleni védőkesztyűt (EN 374 szabvány)</w:t>
      </w:r>
    </w:p>
    <w:p w:rsidR="00E83AA2" w:rsidRPr="00E83AA2" w:rsidRDefault="00E83AA2" w:rsidP="00E83AA2">
      <w:pPr>
        <w:spacing w:after="0" w:line="240" w:lineRule="auto"/>
        <w:ind w:left="2832" w:hanging="2832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Egyéb bőr- és testvédelem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E83AA2">
        <w:rPr>
          <w:rFonts w:eastAsia="Times New Roman" w:cstheme="minorHAnsi"/>
          <w:sz w:val="20"/>
          <w:szCs w:val="20"/>
          <w:lang w:eastAsia="hu-HU"/>
        </w:rPr>
        <w:t>Viseljen megfelelő védőruházatot</w:t>
      </w:r>
      <w:r>
        <w:rPr>
          <w:rFonts w:eastAsia="Times New Roman" w:cstheme="minorHAnsi"/>
          <w:sz w:val="20"/>
          <w:szCs w:val="20"/>
          <w:lang w:eastAsia="hu-HU"/>
        </w:rPr>
        <w:t xml:space="preserve"> fröccsenés elleni védelemmel</w:t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 vagy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E83AA2">
        <w:rPr>
          <w:rFonts w:eastAsia="Times New Roman" w:cstheme="minorHAnsi"/>
          <w:sz w:val="20"/>
          <w:szCs w:val="20"/>
          <w:lang w:eastAsia="hu-HU"/>
        </w:rPr>
        <w:t>szennyeződés</w:t>
      </w:r>
      <w:r>
        <w:rPr>
          <w:rFonts w:eastAsia="Times New Roman" w:cstheme="minorHAnsi"/>
          <w:sz w:val="20"/>
          <w:szCs w:val="20"/>
          <w:lang w:eastAsia="hu-HU"/>
        </w:rPr>
        <w:t>ek elleni védelemmel.</w:t>
      </w:r>
    </w:p>
    <w:p w:rsidR="00E83AA2" w:rsidRP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E83AA2">
        <w:rPr>
          <w:rFonts w:eastAsia="Times New Roman" w:cstheme="minorHAnsi"/>
          <w:sz w:val="20"/>
          <w:szCs w:val="20"/>
          <w:lang w:eastAsia="hu-HU"/>
        </w:rPr>
        <w:t>Légutak védelme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E83AA2">
        <w:rPr>
          <w:rFonts w:eastAsia="Times New Roman" w:cstheme="minorHAnsi"/>
          <w:sz w:val="20"/>
          <w:szCs w:val="20"/>
          <w:lang w:eastAsia="hu-HU"/>
        </w:rPr>
        <w:t>Légzésvédelemre lehet szükség, ha a levegőben túlzott szennyeződés lép fel</w:t>
      </w:r>
    </w:p>
    <w:p w:rsidR="00E83AA2" w:rsidRDefault="00E83AA2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Viseljen szűrővel</w:t>
      </w:r>
      <w:r w:rsidRPr="00E83AA2">
        <w:rPr>
          <w:rFonts w:eastAsia="Times New Roman" w:cstheme="minorHAnsi"/>
          <w:sz w:val="20"/>
          <w:szCs w:val="20"/>
          <w:lang w:eastAsia="hu-HU"/>
        </w:rPr>
        <w:t xml:space="preserve"> ellátott légzőkészüléket: 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E83AA2">
        <w:rPr>
          <w:rFonts w:eastAsia="Times New Roman" w:cstheme="minorHAnsi"/>
          <w:sz w:val="20"/>
          <w:szCs w:val="20"/>
          <w:lang w:eastAsia="hu-HU"/>
        </w:rPr>
        <w:t>Szerves gő</w:t>
      </w:r>
      <w:r>
        <w:rPr>
          <w:rFonts w:eastAsia="Times New Roman" w:cstheme="minorHAnsi"/>
          <w:sz w:val="20"/>
          <w:szCs w:val="20"/>
          <w:lang w:eastAsia="hu-HU"/>
        </w:rPr>
        <w:t xml:space="preserve">z + </w:t>
      </w:r>
      <w:r w:rsidRPr="00E83AA2">
        <w:rPr>
          <w:rFonts w:eastAsia="Times New Roman" w:cstheme="minorHAnsi"/>
          <w:sz w:val="20"/>
          <w:szCs w:val="20"/>
          <w:lang w:eastAsia="hu-HU"/>
        </w:rPr>
        <w:t>por- és páraszűrő (EN 141 szabvány)</w:t>
      </w:r>
    </w:p>
    <w:p w:rsidR="002069CA" w:rsidRDefault="002069CA" w:rsidP="00E83AA2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9. Fizikai és kémiai tulajdonságok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9.1. Információk az alapvető fizikai és kémiai tulajdonságokról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Megjelenés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Impregnált termék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Szín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  <w:t>Színtelen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Szag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Alkohol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Lobbanáspont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42°C (Abel módszer, ISO 13736)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Olvadáspont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Nincs adat.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Gyúlékonysági határértékek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(LEL) 12 (Hozzávetőleges térfogat % levegőben)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Gyúlékonysági határértékek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(UEL) 2 (extrapolálva)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PH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Nem alkalmazható.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Vízben való oldhatóság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Nem alkalmazható.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Oldhatóság - nem víz</w:t>
      </w:r>
      <w:r>
        <w:rPr>
          <w:rFonts w:eastAsia="Times New Roman" w:cstheme="minorHAnsi"/>
          <w:sz w:val="20"/>
          <w:szCs w:val="20"/>
          <w:lang w:eastAsia="hu-HU"/>
        </w:rPr>
        <w:t>ben: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Nem alkalmazható.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Viszkozitás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Nem alkalmazható.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Sűrűség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  <w:t>N</w:t>
      </w:r>
      <w:r w:rsidRPr="002069CA">
        <w:rPr>
          <w:rFonts w:eastAsia="Times New Roman" w:cstheme="minorHAnsi"/>
          <w:sz w:val="20"/>
          <w:szCs w:val="20"/>
          <w:lang w:eastAsia="hu-HU"/>
        </w:rPr>
        <w:t>incs meghatározva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Egyéb információk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Nem alkalmazható</w:t>
      </w:r>
    </w:p>
    <w:p w:rsid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9.2. Egyéb információk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Maximális VOC-tartalom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2069CA">
        <w:rPr>
          <w:rFonts w:eastAsia="Times New Roman" w:cstheme="minorHAnsi"/>
          <w:sz w:val="20"/>
          <w:szCs w:val="20"/>
          <w:lang w:eastAsia="hu-HU"/>
        </w:rPr>
        <w:t>85%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 Stabilitás és reakciókészség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10.1. Reakcióképesség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10.2. Kémiai stabilitás</w:t>
      </w:r>
    </w:p>
    <w:p w:rsidR="002069CA" w:rsidRPr="002069CA" w:rsidRDefault="002069CA" w:rsidP="002069CA">
      <w:pPr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Normál környezeti hőmérsékleten stabil [ 5 ; 35] °C</w:t>
      </w:r>
    </w:p>
    <w:p w:rsidR="002069CA" w:rsidRPr="002069CA" w:rsidRDefault="002069CA" w:rsidP="002069CA">
      <w:pPr>
        <w:spacing w:after="0" w:line="240" w:lineRule="auto"/>
        <w:ind w:left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 xml:space="preserve">Szélsőséges hőmérsékleten (&lt;5°C vagy &gt;35°C) </w:t>
      </w:r>
      <w:r>
        <w:rPr>
          <w:rFonts w:eastAsia="Times New Roman" w:cstheme="minorHAnsi"/>
          <w:sz w:val="20"/>
          <w:szCs w:val="20"/>
          <w:lang w:eastAsia="hu-HU"/>
        </w:rPr>
        <w:t xml:space="preserve">vagy erős UV-sugárzás hatására </w:t>
      </w:r>
      <w:r w:rsidRPr="002069CA">
        <w:rPr>
          <w:rFonts w:eastAsia="Times New Roman" w:cstheme="minorHAnsi"/>
          <w:sz w:val="20"/>
          <w:szCs w:val="20"/>
          <w:lang w:eastAsia="hu-HU"/>
        </w:rPr>
        <w:t>a termék tulajdonságai megváltozhatnak.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10.3. Veszélyes reakciók lehetősége</w:t>
      </w:r>
    </w:p>
    <w:p w:rsidR="002069CA" w:rsidRPr="002069CA" w:rsidRDefault="002069CA" w:rsidP="002069CA">
      <w:pPr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Az utasításoknak megfelelő használat esetén nincs veszélyes reakció</w:t>
      </w:r>
    </w:p>
    <w:p w:rsidR="002069CA" w:rsidRPr="002069CA" w:rsidRDefault="002069CA" w:rsidP="002069CA">
      <w:pPr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A következő anyagok erősen reagálhatnak a termékkel: Oxidálószerek, erős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2069CA">
        <w:rPr>
          <w:rFonts w:eastAsia="Times New Roman" w:cstheme="minorHAnsi"/>
          <w:sz w:val="20"/>
          <w:szCs w:val="20"/>
          <w:lang w:eastAsia="hu-HU"/>
        </w:rPr>
        <w:t>savak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10.4. Kerülendő körülmények</w:t>
      </w:r>
    </w:p>
    <w:p w:rsidR="002069CA" w:rsidRPr="002069CA" w:rsidRDefault="002069CA" w:rsidP="002069CA">
      <w:pPr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Kerülje a hőt, szikrát, nyílt lángot és egyéb gyújtóforrásokat</w:t>
      </w:r>
    </w:p>
    <w:p w:rsidR="002069CA" w:rsidRPr="002069CA" w:rsidRDefault="002069CA" w:rsidP="002069CA">
      <w:pPr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Ne keverje össze más termékekkel.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10.5. Nem összeférhető anyagok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10.6. Veszélyes bomlástermékek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Magas hőmérsékleten sz</w:t>
      </w:r>
      <w:r>
        <w:rPr>
          <w:rFonts w:eastAsia="Times New Roman" w:cstheme="minorHAnsi"/>
          <w:sz w:val="20"/>
          <w:szCs w:val="20"/>
          <w:lang w:eastAsia="hu-HU"/>
        </w:rPr>
        <w:t>én-monoxid és szén-dioxid füst, nitrogén-oxid füst és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szénhidrogének</w:t>
      </w:r>
      <w:r>
        <w:rPr>
          <w:rFonts w:eastAsia="Times New Roman" w:cstheme="minorHAnsi"/>
          <w:sz w:val="20"/>
          <w:szCs w:val="20"/>
          <w:lang w:eastAsia="hu-HU"/>
        </w:rPr>
        <w:t>.</w:t>
      </w:r>
      <w:r w:rsidR="00AD353C" w:rsidRPr="00AD353C">
        <w:rPr>
          <w:rFonts w:eastAsia="Times New Roman" w:cstheme="minorHAnsi"/>
          <w:sz w:val="20"/>
          <w:szCs w:val="20"/>
          <w:lang w:eastAsia="hu-HU"/>
        </w:rPr>
        <w:br/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11. Toxikológiai információk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11.1. Tájékoztatás a toxikológiai hatásokról</w:t>
      </w:r>
    </w:p>
    <w:p w:rsidR="002069CA" w:rsidRPr="002069CA" w:rsidRDefault="002069CA" w:rsidP="002069CA">
      <w:pPr>
        <w:spacing w:after="0" w:line="240" w:lineRule="auto"/>
        <w:ind w:left="708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A terméket nem tesztelték. A toxikológiai adatok</w:t>
      </w:r>
      <w:r>
        <w:rPr>
          <w:rFonts w:eastAsia="Times New Roman" w:cstheme="minorHAnsi"/>
          <w:sz w:val="20"/>
          <w:szCs w:val="20"/>
          <w:lang w:eastAsia="hu-HU"/>
        </w:rPr>
        <w:t>at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 a különböző </w:t>
      </w:r>
      <w:r>
        <w:rPr>
          <w:rFonts w:eastAsia="Times New Roman" w:cstheme="minorHAnsi"/>
          <w:sz w:val="20"/>
          <w:szCs w:val="20"/>
          <w:lang w:eastAsia="hu-HU"/>
        </w:rPr>
        <w:t xml:space="preserve">alkotóelemek </w:t>
      </w:r>
      <w:r w:rsidRPr="002069CA">
        <w:rPr>
          <w:rFonts w:eastAsia="Times New Roman" w:cstheme="minorHAnsi"/>
          <w:sz w:val="20"/>
          <w:szCs w:val="20"/>
          <w:lang w:eastAsia="hu-HU"/>
        </w:rPr>
        <w:t xml:space="preserve">tulajdonságokból </w:t>
      </w:r>
      <w:r>
        <w:rPr>
          <w:rFonts w:eastAsia="Times New Roman" w:cstheme="minorHAnsi"/>
          <w:sz w:val="20"/>
          <w:szCs w:val="20"/>
          <w:lang w:eastAsia="hu-HU"/>
        </w:rPr>
        <w:t>következtették.</w:t>
      </w:r>
    </w:p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Akut toxicitás</w:t>
      </w:r>
    </w:p>
    <w:p w:rsidR="002069CA" w:rsidRPr="00AD353C" w:rsidRDefault="002069CA" w:rsidP="002069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A rendelkezésre álló adatok alapján az akut toxicitás osztályozási kritériumai nem teljesülnek.</w:t>
      </w:r>
      <w:r w:rsidR="00AD353C" w:rsidRPr="00AD353C">
        <w:rPr>
          <w:rFonts w:eastAsia="Times New Roman" w:cstheme="minorHAnsi"/>
          <w:sz w:val="20"/>
          <w:szCs w:val="20"/>
          <w:lang w:eastAsia="hu-HU"/>
        </w:rPr>
        <w:br/>
      </w:r>
      <w:r w:rsidR="00AD353C" w:rsidRPr="00AD353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069CA" w:rsidTr="002069CA">
        <w:tc>
          <w:tcPr>
            <w:tcW w:w="1294" w:type="dxa"/>
          </w:tcPr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IUPAC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név</w:t>
            </w:r>
          </w:p>
        </w:tc>
        <w:tc>
          <w:tcPr>
            <w:tcW w:w="1294" w:type="dxa"/>
          </w:tcPr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CAS </w:t>
            </w: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szám</w:t>
            </w: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4" w:type="dxa"/>
          </w:tcPr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LD50 (szájon át</w:t>
            </w: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) mg/kg</w:t>
            </w:r>
          </w:p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5" w:type="dxa"/>
          </w:tcPr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LD50</w:t>
            </w:r>
          </w:p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(b</w:t>
            </w: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őr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ön át</w:t>
            </w: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mg/kg</w:t>
            </w: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5" w:type="dxa"/>
          </w:tcPr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LC50</w:t>
            </w:r>
          </w:p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(belélegzés)</w:t>
            </w:r>
          </w:p>
          <w:p w:rsidR="002069CA" w:rsidRPr="002069CA" w:rsidRDefault="002069CA" w:rsidP="002069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mg/l</w:t>
            </w: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5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Faj</w:t>
            </w:r>
          </w:p>
        </w:tc>
        <w:tc>
          <w:tcPr>
            <w:tcW w:w="1295" w:type="dxa"/>
          </w:tcPr>
          <w:p w:rsidR="009B063D" w:rsidRPr="002069CA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Idő (h)</w:t>
            </w: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069CA" w:rsidTr="002069CA">
        <w:tc>
          <w:tcPr>
            <w:tcW w:w="1294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294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294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5.840</w:t>
            </w:r>
          </w:p>
        </w:tc>
        <w:tc>
          <w:tcPr>
            <w:tcW w:w="1295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13.900</w:t>
            </w:r>
          </w:p>
        </w:tc>
        <w:tc>
          <w:tcPr>
            <w:tcW w:w="1295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&gt; 25.000</w:t>
            </w:r>
          </w:p>
        </w:tc>
        <w:tc>
          <w:tcPr>
            <w:tcW w:w="1295" w:type="dxa"/>
          </w:tcPr>
          <w:p w:rsidR="002069CA" w:rsidRDefault="009B063D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patkány</w:t>
            </w:r>
          </w:p>
        </w:tc>
        <w:tc>
          <w:tcPr>
            <w:tcW w:w="1295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069CA">
              <w:rPr>
                <w:rFonts w:eastAsia="Times New Roman" w:cstheme="minorHAnsi"/>
                <w:sz w:val="20"/>
                <w:szCs w:val="20"/>
                <w:lang w:eastAsia="hu-HU"/>
              </w:rPr>
              <w:t>ND</w:t>
            </w:r>
          </w:p>
          <w:p w:rsidR="002069CA" w:rsidRDefault="002069CA" w:rsidP="002069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069CA" w:rsidRP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2069CA" w:rsidRDefault="002069CA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2069CA">
        <w:rPr>
          <w:rFonts w:eastAsia="Times New Roman" w:cstheme="minorHAnsi"/>
          <w:sz w:val="20"/>
          <w:szCs w:val="20"/>
          <w:lang w:eastAsia="hu-HU"/>
        </w:rPr>
        <w:t>Bőrkorrózió/bőrirritáció</w:t>
      </w:r>
    </w:p>
    <w:p w:rsidR="009B063D" w:rsidRDefault="009B063D" w:rsidP="002069C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Hosszan tartó expozíció esetén enyhén irritálja a bőrt.</w:t>
      </w: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Súlyo</w:t>
      </w:r>
      <w:r>
        <w:rPr>
          <w:rFonts w:eastAsia="Times New Roman" w:cstheme="minorHAnsi"/>
          <w:sz w:val="20"/>
          <w:szCs w:val="20"/>
          <w:lang w:eastAsia="hu-HU"/>
        </w:rPr>
        <w:t>s szemkárosodás / Szemirritáció: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Súlyos szemirritációt okoz.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Légúti vagy bőrszenzibilizáció: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Rákkeltő hatás</w:t>
      </w:r>
      <w:r>
        <w:rPr>
          <w:rFonts w:eastAsia="Times New Roman" w:cstheme="minorHAnsi"/>
          <w:sz w:val="20"/>
          <w:szCs w:val="20"/>
          <w:lang w:eastAsia="hu-HU"/>
        </w:rPr>
        <w:t>:</w:t>
      </w:r>
      <w:r w:rsidRPr="009B063D">
        <w:rPr>
          <w:rFonts w:eastAsia="Times New Roman" w:cstheme="minorHAnsi"/>
          <w:sz w:val="20"/>
          <w:szCs w:val="20"/>
          <w:lang w:eastAsia="hu-HU"/>
        </w:rPr>
        <w:t xml:space="preserve"> 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alapján, a CLP rendelet értelmében nincs besorolva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Csírasejt-mutagenitás: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Reprodukciós toxicitás: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Célszervi</w:t>
      </w:r>
      <w:r>
        <w:rPr>
          <w:rFonts w:eastAsia="Times New Roman" w:cstheme="minorHAnsi"/>
          <w:sz w:val="20"/>
          <w:szCs w:val="20"/>
          <w:lang w:eastAsia="hu-HU"/>
        </w:rPr>
        <w:t xml:space="preserve"> toxicitás - egyszeri expozíció: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Álmosságot vagy szédülést okozhat</w:t>
      </w:r>
    </w:p>
    <w:p w:rsidR="009B063D" w:rsidRPr="009B063D" w:rsidRDefault="009B063D" w:rsidP="009B063D">
      <w:pPr>
        <w:spacing w:after="0" w:line="240" w:lineRule="auto"/>
        <w:ind w:left="4248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 xml:space="preserve">Célszervi </w:t>
      </w:r>
      <w:r>
        <w:rPr>
          <w:rFonts w:eastAsia="Times New Roman" w:cstheme="minorHAnsi"/>
          <w:sz w:val="20"/>
          <w:szCs w:val="20"/>
          <w:lang w:eastAsia="hu-HU"/>
        </w:rPr>
        <w:t>toxicitás - ismétlődő expozíció: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Aspirációs veszély: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rendelkezésre álló adatok alapján a CLP rendelet értelmében nem osztályozott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1272/2008.</w:t>
      </w:r>
    </w:p>
    <w:p w:rsidR="009B063D" w:rsidRPr="009B063D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Interaktív effek</w:t>
      </w:r>
      <w:r>
        <w:rPr>
          <w:rFonts w:eastAsia="Times New Roman" w:cstheme="minorHAnsi"/>
          <w:sz w:val="20"/>
          <w:szCs w:val="20"/>
          <w:lang w:eastAsia="hu-HU"/>
        </w:rPr>
        <w:t>tusok: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Jelentős interaktív hatások vagy kritikus veszélyek ennél a keveréknél nem ismertek.</w:t>
      </w:r>
    </w:p>
    <w:p w:rsidR="009B063D" w:rsidRPr="002069CA" w:rsidRDefault="009B063D" w:rsidP="009B063D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Egyéb toxicitási információ: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Hosszan tartó használat esetén és/vagy rosszul szellőző helyen: fejfájást okozhat,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hányinger, szé</w:t>
      </w:r>
      <w:r>
        <w:rPr>
          <w:rFonts w:eastAsia="Times New Roman" w:cstheme="minorHAnsi"/>
          <w:sz w:val="20"/>
          <w:szCs w:val="20"/>
          <w:lang w:eastAsia="hu-HU"/>
        </w:rPr>
        <w:t>dülés, tudatzavarok, álmosság.</w:t>
      </w:r>
      <w:r w:rsidRPr="009B063D">
        <w:rPr>
          <w:rFonts w:eastAsia="Times New Roman" w:cstheme="minorHAnsi"/>
          <w:sz w:val="20"/>
          <w:szCs w:val="20"/>
          <w:lang w:eastAsia="hu-HU"/>
        </w:rPr>
        <w:t xml:space="preserve"> Ezek a </w:t>
      </w:r>
      <w:r>
        <w:rPr>
          <w:rFonts w:eastAsia="Times New Roman" w:cstheme="minorHAnsi"/>
          <w:sz w:val="20"/>
          <w:szCs w:val="20"/>
          <w:lang w:eastAsia="hu-HU"/>
        </w:rPr>
        <w:t xml:space="preserve">zavarok </w:t>
      </w:r>
      <w:r w:rsidRPr="009B063D">
        <w:rPr>
          <w:rFonts w:eastAsia="Times New Roman" w:cstheme="minorHAnsi"/>
          <w:sz w:val="20"/>
          <w:szCs w:val="20"/>
          <w:lang w:eastAsia="hu-HU"/>
        </w:rPr>
        <w:t>eltűnnek jó oxigénellátással (tiszta levegő</w:t>
      </w:r>
      <w:r>
        <w:rPr>
          <w:rFonts w:eastAsia="Times New Roman" w:cstheme="minorHAnsi"/>
          <w:sz w:val="20"/>
          <w:szCs w:val="20"/>
          <w:lang w:eastAsia="hu-HU"/>
        </w:rPr>
        <w:t>n</w:t>
      </w:r>
      <w:r w:rsidRPr="009B063D">
        <w:rPr>
          <w:rFonts w:eastAsia="Times New Roman" w:cstheme="minorHAnsi"/>
          <w:sz w:val="20"/>
          <w:szCs w:val="20"/>
          <w:lang w:eastAsia="hu-HU"/>
        </w:rPr>
        <w:t>).</w:t>
      </w:r>
    </w:p>
    <w:p w:rsidR="009B063D" w:rsidRPr="009B063D" w:rsidRDefault="00AD353C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D353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B063D" w:rsidRPr="009B063D">
        <w:rPr>
          <w:rFonts w:eastAsia="Times New Roman" w:cstheme="minorHAnsi"/>
          <w:sz w:val="20"/>
          <w:szCs w:val="20"/>
          <w:lang w:eastAsia="hu-HU"/>
        </w:rPr>
        <w:t>12. Ökológiai információk</w:t>
      </w:r>
    </w:p>
    <w:p w:rsidR="009B063D" w:rsidRPr="009B063D" w:rsidRDefault="009B063D" w:rsidP="009B063D">
      <w:pPr>
        <w:spacing w:after="0" w:line="240" w:lineRule="auto"/>
        <w:ind w:left="2830" w:hanging="2830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12.1. Toxicitás: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A vízi környezetre gyakorolt veszély szempontjából nincs besorolva a jelentésben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1272/2008 CLP-rendelet.</w:t>
      </w:r>
    </w:p>
    <w:p w:rsid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A készítményben található nyersanyagok öko</w:t>
      </w:r>
      <w:r>
        <w:rPr>
          <w:rFonts w:eastAsia="Times New Roman" w:cstheme="minorHAnsi"/>
          <w:sz w:val="20"/>
          <w:szCs w:val="20"/>
          <w:lang w:eastAsia="hu-HU"/>
        </w:rPr>
        <w:t xml:space="preserve"> </w:t>
      </w:r>
      <w:r w:rsidRPr="009B063D">
        <w:rPr>
          <w:rFonts w:eastAsia="Times New Roman" w:cstheme="minorHAnsi"/>
          <w:sz w:val="20"/>
          <w:szCs w:val="20"/>
          <w:lang w:eastAsia="hu-HU"/>
        </w:rPr>
        <w:t>toxicitása:</w:t>
      </w:r>
    </w:p>
    <w:p w:rsid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B063D" w:rsidTr="009B063D"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IUPAC-név</w:t>
            </w:r>
          </w:p>
        </w:tc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CAS-szám</w:t>
            </w:r>
          </w:p>
        </w:tc>
        <w:tc>
          <w:tcPr>
            <w:tcW w:w="1812" w:type="dxa"/>
          </w:tcPr>
          <w:p w:rsidR="009B063D" w:rsidRP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LC (E) 50 mg/L </w:t>
            </w:r>
          </w:p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Faj</w:t>
            </w: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Idő (óra)</w:t>
            </w:r>
          </w:p>
        </w:tc>
      </w:tr>
      <w:tr w:rsidR="009B063D" w:rsidTr="009B063D"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9.640</w:t>
            </w: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Hal</w:t>
            </w: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96</w:t>
            </w:r>
          </w:p>
        </w:tc>
      </w:tr>
      <w:tr w:rsidR="009B063D" w:rsidTr="009B063D"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812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&gt; 10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 </w:t>
            </w: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000</w:t>
            </w: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Daphnie</w:t>
            </w:r>
          </w:p>
        </w:tc>
        <w:tc>
          <w:tcPr>
            <w:tcW w:w="1813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</w:tr>
    </w:tbl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12.2.</w:t>
      </w:r>
      <w:r>
        <w:rPr>
          <w:rFonts w:eastAsia="Times New Roman" w:cstheme="minorHAnsi"/>
          <w:sz w:val="20"/>
          <w:szCs w:val="20"/>
          <w:lang w:eastAsia="hu-HU"/>
        </w:rPr>
        <w:t xml:space="preserve"> Perzisztencia és lebonthatóság:</w:t>
      </w:r>
      <w:r>
        <w:rPr>
          <w:rFonts w:eastAsia="Times New Roman" w:cstheme="minorHAnsi"/>
          <w:sz w:val="20"/>
          <w:szCs w:val="20"/>
          <w:lang w:eastAsia="hu-HU"/>
        </w:rPr>
        <w:tab/>
      </w:r>
    </w:p>
    <w:p w:rsid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A készítményben található alapanyagok lebonthatósági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063D" w:rsidTr="009B063D">
        <w:tc>
          <w:tcPr>
            <w:tcW w:w="3020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IUPAC név</w:t>
            </w:r>
          </w:p>
        </w:tc>
        <w:tc>
          <w:tcPr>
            <w:tcW w:w="3021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CAS szám</w:t>
            </w:r>
          </w:p>
        </w:tc>
        <w:tc>
          <w:tcPr>
            <w:tcW w:w="3021" w:type="dxa"/>
          </w:tcPr>
          <w:p w:rsidR="009B063D" w:rsidRP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Következtetés lebonthatóság</w:t>
            </w:r>
          </w:p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9B063D" w:rsidTr="009B063D">
        <w:tc>
          <w:tcPr>
            <w:tcW w:w="3020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3021" w:type="dxa"/>
          </w:tcPr>
          <w:p w:rsid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3021" w:type="dxa"/>
          </w:tcPr>
          <w:p w:rsidR="009B063D" w:rsidRPr="009B063D" w:rsidRDefault="009B063D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98% OTH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Az anyagot könnyen</w:t>
            </w:r>
          </w:p>
          <w:p w:rsid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lebomlónak tekintik</w:t>
            </w:r>
          </w:p>
        </w:tc>
      </w:tr>
    </w:tbl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12.3. Bioakkumulációs potenciál</w:t>
      </w:r>
    </w:p>
    <w:p w:rsid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A készítményben található alapanyagok bioakkumulációs adatai:</w:t>
      </w:r>
    </w:p>
    <w:p w:rsidR="00A84E76" w:rsidRDefault="00A84E76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4E76" w:rsidTr="00A84E76">
        <w:tc>
          <w:tcPr>
            <w:tcW w:w="1812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IUPAC név</w:t>
            </w:r>
          </w:p>
        </w:tc>
        <w:tc>
          <w:tcPr>
            <w:tcW w:w="1812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CAS-szám</w:t>
            </w:r>
          </w:p>
        </w:tc>
        <w:tc>
          <w:tcPr>
            <w:tcW w:w="1812" w:type="dxa"/>
          </w:tcPr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Partíció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együttható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n-oktanol /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víz (napló)</w:t>
            </w:r>
          </w:p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</w:tcPr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bio-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koncentráció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faktor (BCF)</w:t>
            </w:r>
          </w:p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13" w:type="dxa"/>
          </w:tcPr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Következtetés lebonthatóság</w:t>
            </w:r>
          </w:p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84E76" w:rsidTr="00A84E76">
        <w:tc>
          <w:tcPr>
            <w:tcW w:w="1812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propán-2-ol</w:t>
            </w:r>
          </w:p>
        </w:tc>
        <w:tc>
          <w:tcPr>
            <w:tcW w:w="1812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67-63-0</w:t>
            </w:r>
          </w:p>
        </w:tc>
        <w:tc>
          <w:tcPr>
            <w:tcW w:w="1812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0,5</w:t>
            </w:r>
          </w:p>
        </w:tc>
        <w:tc>
          <w:tcPr>
            <w:tcW w:w="1813" w:type="dxa"/>
          </w:tcPr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13" w:type="dxa"/>
          </w:tcPr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Nem bioakkumulatív</w:t>
            </w:r>
          </w:p>
          <w:p w:rsidR="00A84E76" w:rsidRPr="009B063D" w:rsidRDefault="00A84E76" w:rsidP="00A84E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B063D">
              <w:rPr>
                <w:rFonts w:eastAsia="Times New Roman" w:cstheme="minorHAnsi"/>
                <w:sz w:val="20"/>
                <w:szCs w:val="20"/>
                <w:lang w:eastAsia="hu-HU"/>
              </w:rPr>
              <w:t>anyag</w:t>
            </w:r>
          </w:p>
          <w:p w:rsidR="00A84E76" w:rsidRDefault="00A84E76" w:rsidP="009B063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:rsidR="00A84E76" w:rsidRPr="009B063D" w:rsidRDefault="00A84E76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9B063D" w:rsidRPr="009B063D" w:rsidRDefault="00A84E76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12.4. Mobilitás a talajban: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="009B063D" w:rsidRPr="009B063D">
        <w:rPr>
          <w:rFonts w:eastAsia="Times New Roman" w:cstheme="minorHAnsi"/>
          <w:sz w:val="20"/>
          <w:szCs w:val="20"/>
          <w:lang w:eastAsia="hu-HU"/>
        </w:rPr>
        <w:t>További adatok nem állnak rendelkezésre</w:t>
      </w:r>
    </w:p>
    <w:p w:rsidR="009B063D" w:rsidRPr="009B063D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12.5. A PB</w:t>
      </w:r>
      <w:r w:rsidR="00A84E76">
        <w:rPr>
          <w:rFonts w:eastAsia="Times New Roman" w:cstheme="minorHAnsi"/>
          <w:sz w:val="20"/>
          <w:szCs w:val="20"/>
          <w:lang w:eastAsia="hu-HU"/>
        </w:rPr>
        <w:t>T- és vPvB-értékelés eredményei:</w:t>
      </w:r>
      <w:r w:rsidR="00A84E76">
        <w:rPr>
          <w:rFonts w:eastAsia="Times New Roman" w:cstheme="minorHAnsi"/>
          <w:sz w:val="20"/>
          <w:szCs w:val="20"/>
          <w:lang w:eastAsia="hu-HU"/>
        </w:rPr>
        <w:tab/>
      </w:r>
      <w:r w:rsidR="00A84E76"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További adatok nem állnak rendelkezésre</w:t>
      </w:r>
    </w:p>
    <w:p w:rsidR="00AD353C" w:rsidRDefault="009B063D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9B063D">
        <w:rPr>
          <w:rFonts w:eastAsia="Times New Roman" w:cstheme="minorHAnsi"/>
          <w:sz w:val="20"/>
          <w:szCs w:val="20"/>
          <w:lang w:eastAsia="hu-HU"/>
        </w:rPr>
        <w:t>12</w:t>
      </w:r>
      <w:r w:rsidR="00A84E76">
        <w:rPr>
          <w:rFonts w:eastAsia="Times New Roman" w:cstheme="minorHAnsi"/>
          <w:sz w:val="20"/>
          <w:szCs w:val="20"/>
          <w:lang w:eastAsia="hu-HU"/>
        </w:rPr>
        <w:t>.6. Egyéb káros hatások:</w:t>
      </w:r>
      <w:r w:rsidR="00A84E76">
        <w:rPr>
          <w:rFonts w:eastAsia="Times New Roman" w:cstheme="minorHAnsi"/>
          <w:sz w:val="20"/>
          <w:szCs w:val="20"/>
          <w:lang w:eastAsia="hu-HU"/>
        </w:rPr>
        <w:tab/>
      </w:r>
      <w:r w:rsidR="00A84E76">
        <w:rPr>
          <w:rFonts w:eastAsia="Times New Roman" w:cstheme="minorHAnsi"/>
          <w:sz w:val="20"/>
          <w:szCs w:val="20"/>
          <w:lang w:eastAsia="hu-HU"/>
        </w:rPr>
        <w:tab/>
      </w:r>
      <w:r w:rsidR="00A84E76">
        <w:rPr>
          <w:rFonts w:eastAsia="Times New Roman" w:cstheme="minorHAnsi"/>
          <w:sz w:val="20"/>
          <w:szCs w:val="20"/>
          <w:lang w:eastAsia="hu-HU"/>
        </w:rPr>
        <w:tab/>
      </w:r>
      <w:r w:rsidRPr="009B063D">
        <w:rPr>
          <w:rFonts w:eastAsia="Times New Roman" w:cstheme="minorHAnsi"/>
          <w:sz w:val="20"/>
          <w:szCs w:val="20"/>
          <w:lang w:eastAsia="hu-HU"/>
        </w:rPr>
        <w:t>További adatok nem állnak rendelkezésre</w:t>
      </w:r>
    </w:p>
    <w:p w:rsidR="00A84E76" w:rsidRPr="009B063D" w:rsidRDefault="00A84E76" w:rsidP="009B063D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13. Ártalmatlanítási szempontok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13.1. Hulladékkezelési módszerek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Általános információ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Ezt a terméket, a folyamatoldatokat, a maradékokat és a melléktermékeket a környezetvédelmi és hulladékkezelési jogszabályok</w:t>
      </w:r>
      <w:r>
        <w:rPr>
          <w:rFonts w:eastAsia="Times New Roman" w:cstheme="minorHAnsi"/>
          <w:sz w:val="20"/>
          <w:szCs w:val="20"/>
          <w:lang w:eastAsia="hu-HU"/>
        </w:rPr>
        <w:t>nak</w:t>
      </w:r>
      <w:r w:rsidRPr="00A84E76">
        <w:rPr>
          <w:rFonts w:eastAsia="Times New Roman" w:cstheme="minorHAnsi"/>
          <w:sz w:val="20"/>
          <w:szCs w:val="20"/>
          <w:lang w:eastAsia="hu-HU"/>
        </w:rPr>
        <w:t xml:space="preserve"> és bármely helyi hatósági követelményeknek </w:t>
      </w:r>
      <w:r>
        <w:rPr>
          <w:rFonts w:eastAsia="Times New Roman" w:cstheme="minorHAnsi"/>
          <w:sz w:val="20"/>
          <w:szCs w:val="20"/>
          <w:lang w:eastAsia="hu-HU"/>
        </w:rPr>
        <w:t>megfelelően kell megsemmisíteni.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Ártalmatlanítási módszerek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A hulladékot az előírásoknak megfelelően a h</w:t>
      </w:r>
      <w:r>
        <w:rPr>
          <w:rFonts w:eastAsia="Times New Roman" w:cstheme="minorHAnsi"/>
          <w:sz w:val="20"/>
          <w:szCs w:val="20"/>
          <w:lang w:eastAsia="hu-HU"/>
        </w:rPr>
        <w:t>elyi Hulladékkezelési Hatósági</w:t>
      </w:r>
      <w:r w:rsidRPr="00A84E76">
        <w:rPr>
          <w:rFonts w:eastAsia="Times New Roman" w:cstheme="minorHAnsi"/>
          <w:sz w:val="20"/>
          <w:szCs w:val="20"/>
          <w:lang w:eastAsia="hu-HU"/>
        </w:rPr>
        <w:t xml:space="preserve"> engedéllyel rendelkező hulladéklerakó telephelyre kell leadni</w:t>
      </w:r>
      <w:r>
        <w:rPr>
          <w:rFonts w:eastAsia="Times New Roman" w:cstheme="minorHAnsi"/>
          <w:sz w:val="20"/>
          <w:szCs w:val="20"/>
          <w:lang w:eastAsia="hu-HU"/>
        </w:rPr>
        <w:t>.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A hulladékot nem szab</w:t>
      </w:r>
      <w:r>
        <w:rPr>
          <w:rFonts w:eastAsia="Times New Roman" w:cstheme="minorHAnsi"/>
          <w:sz w:val="20"/>
          <w:szCs w:val="20"/>
          <w:lang w:eastAsia="hu-HU"/>
        </w:rPr>
        <w:t>ad kezeletlenül beengedni a szennyvíz csatornába</w:t>
      </w:r>
      <w:r w:rsidRPr="00A84E76">
        <w:rPr>
          <w:rFonts w:eastAsia="Times New Roman" w:cstheme="minorHAnsi"/>
          <w:sz w:val="20"/>
          <w:szCs w:val="20"/>
          <w:lang w:eastAsia="hu-HU"/>
        </w:rPr>
        <w:t>, kivéve, ha az teljes mértékben megfelel a helyi vízügyi hatóság követelményeinek.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A hulladék csomagolását</w:t>
      </w:r>
      <w:r w:rsidRPr="00A84E76">
        <w:rPr>
          <w:rFonts w:eastAsia="Times New Roman" w:cstheme="minorHAnsi"/>
          <w:sz w:val="20"/>
          <w:szCs w:val="20"/>
          <w:lang w:eastAsia="hu-HU"/>
        </w:rPr>
        <w:t xml:space="preserve"> össze kell gyűjteni újrafelhasználás vagy újrahasznosítás céljából.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 Szállítási információk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14.1. ENSZ-szám: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UN3175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14.2. Az ENSZ m</w:t>
      </w:r>
      <w:r>
        <w:rPr>
          <w:rFonts w:eastAsia="Times New Roman" w:cstheme="minorHAnsi"/>
          <w:sz w:val="20"/>
          <w:szCs w:val="20"/>
          <w:lang w:eastAsia="hu-HU"/>
        </w:rPr>
        <w:t>egfelelő szállítási megnevezése: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Gyúlékony folyadékot tartalmazó szilárd anyag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14.3. Száll</w:t>
      </w:r>
      <w:r>
        <w:rPr>
          <w:rFonts w:eastAsia="Times New Roman" w:cstheme="minorHAnsi"/>
          <w:sz w:val="20"/>
          <w:szCs w:val="20"/>
          <w:lang w:eastAsia="hu-HU"/>
        </w:rPr>
        <w:t>ítási veszélyességi osztály(ok):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4.1. osztály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14.4. Csomagoló csoport: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II</w:t>
      </w:r>
    </w:p>
    <w:p w:rsidR="00A84E76" w:rsidRPr="00A84E76" w:rsidRDefault="00A84E76" w:rsidP="00A84E76">
      <w:pPr>
        <w:spacing w:after="0" w:line="240" w:lineRule="auto"/>
        <w:ind w:left="4248" w:hanging="4248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14.4.1 Be</w:t>
      </w:r>
      <w:r>
        <w:rPr>
          <w:rFonts w:eastAsia="Times New Roman" w:cstheme="minorHAnsi"/>
          <w:sz w:val="20"/>
          <w:szCs w:val="20"/>
          <w:lang w:eastAsia="hu-HU"/>
        </w:rPr>
        <w:t>lső csomagolás:</w:t>
      </w:r>
      <w:r>
        <w:rPr>
          <w:rFonts w:eastAsia="Times New Roman" w:cstheme="minorHAnsi"/>
          <w:sz w:val="20"/>
          <w:szCs w:val="20"/>
          <w:lang w:eastAsia="hu-HU"/>
        </w:rPr>
        <w:tab/>
        <w:t>Három-komplex tasak</w:t>
      </w:r>
      <w:r w:rsidRPr="00A84E76">
        <w:rPr>
          <w:rFonts w:eastAsia="Times New Roman" w:cstheme="minorHAnsi"/>
          <w:sz w:val="20"/>
          <w:szCs w:val="20"/>
          <w:lang w:eastAsia="hu-HU"/>
        </w:rPr>
        <w:t>: PET</w:t>
      </w:r>
      <w:r>
        <w:rPr>
          <w:rFonts w:eastAsia="Times New Roman" w:cstheme="minorHAnsi"/>
          <w:sz w:val="20"/>
          <w:szCs w:val="20"/>
          <w:lang w:eastAsia="hu-HU"/>
        </w:rPr>
        <w:t xml:space="preserve">P korona kezelt / PETP fém / PE </w:t>
      </w:r>
      <w:r w:rsidRPr="00A84E76">
        <w:rPr>
          <w:rFonts w:eastAsia="Times New Roman" w:cstheme="minorHAnsi"/>
          <w:sz w:val="20"/>
          <w:szCs w:val="20"/>
          <w:lang w:eastAsia="hu-HU"/>
        </w:rPr>
        <w:t>(Coex)</w:t>
      </w:r>
    </w:p>
    <w:p w:rsidR="00A84E76" w:rsidRPr="00A84E76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14.6</w:t>
      </w:r>
      <w:r>
        <w:rPr>
          <w:rFonts w:eastAsia="Times New Roman" w:cstheme="minorHAnsi"/>
          <w:sz w:val="20"/>
          <w:szCs w:val="20"/>
          <w:lang w:eastAsia="hu-HU"/>
        </w:rPr>
        <w:t>. Környezetvédelmi óvintézkedés:</w:t>
      </w:r>
      <w:r>
        <w:rPr>
          <w:rFonts w:eastAsia="Times New Roman" w:cstheme="minorHAnsi"/>
          <w:sz w:val="20"/>
          <w:szCs w:val="20"/>
          <w:lang w:eastAsia="hu-HU"/>
        </w:rPr>
        <w:tab/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Egyik sem</w:t>
      </w:r>
    </w:p>
    <w:p w:rsidR="00830D3A" w:rsidRDefault="00A84E76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A84E76">
        <w:rPr>
          <w:rFonts w:eastAsia="Times New Roman" w:cstheme="minorHAnsi"/>
          <w:sz w:val="20"/>
          <w:szCs w:val="20"/>
          <w:lang w:eastAsia="hu-HU"/>
        </w:rPr>
        <w:t>14.6. Különleges óvint</w:t>
      </w:r>
      <w:r>
        <w:rPr>
          <w:rFonts w:eastAsia="Times New Roman" w:cstheme="minorHAnsi"/>
          <w:sz w:val="20"/>
          <w:szCs w:val="20"/>
          <w:lang w:eastAsia="hu-HU"/>
        </w:rPr>
        <w:t>ézkedések a felhasználó számára:</w:t>
      </w:r>
      <w:r>
        <w:rPr>
          <w:rFonts w:eastAsia="Times New Roman" w:cstheme="minorHAnsi"/>
          <w:sz w:val="20"/>
          <w:szCs w:val="20"/>
          <w:lang w:eastAsia="hu-HU"/>
        </w:rPr>
        <w:tab/>
      </w:r>
      <w:r w:rsidRPr="00A84E76">
        <w:rPr>
          <w:rFonts w:eastAsia="Times New Roman" w:cstheme="minorHAnsi"/>
          <w:sz w:val="20"/>
          <w:szCs w:val="20"/>
          <w:lang w:eastAsia="hu-HU"/>
        </w:rPr>
        <w:t>Egyik sem</w:t>
      </w:r>
    </w:p>
    <w:p w:rsidR="00830D3A" w:rsidRPr="00A84E76" w:rsidRDefault="00830D3A" w:rsidP="00A84E76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14.7. A MARPOL 73/78 II. melléklete és az IBC kódex szerinti ömlesztett szállítás"</w:t>
      </w:r>
    </w:p>
    <w:p w:rsid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GEKATEX kijelenti, hogy ezt a terméket kizárólag korlátozot</w:t>
      </w:r>
      <w:r>
        <w:rPr>
          <w:rFonts w:eastAsia="Times New Roman" w:cstheme="minorHAnsi"/>
          <w:sz w:val="20"/>
          <w:szCs w:val="20"/>
          <w:lang w:eastAsia="hu-HU"/>
        </w:rPr>
        <w:t xml:space="preserve">t mennyiségben küldi el, az alábbi címkézés </w:t>
      </w:r>
      <w:r w:rsidRPr="00830D3A">
        <w:rPr>
          <w:rFonts w:eastAsia="Times New Roman" w:cstheme="minorHAnsi"/>
          <w:sz w:val="20"/>
          <w:szCs w:val="20"/>
          <w:lang w:eastAsia="hu-HU"/>
        </w:rPr>
        <w:t>a különböző közlekedési módokra jellemző.</w:t>
      </w:r>
    </w:p>
    <w:p w:rsid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66E71" w:rsidTr="00830D3A"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Szabályozó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Információ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ENSZ Szám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Szállítás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Név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osztály</w:t>
            </w:r>
          </w:p>
        </w:tc>
        <w:tc>
          <w:tcPr>
            <w:tcW w:w="1511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csoport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Címke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66E71" w:rsidTr="001767FF">
        <w:trPr>
          <w:trHeight w:val="2662"/>
        </w:trPr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Osztályozás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ADR / RID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UN 3175</w:t>
            </w:r>
          </w:p>
        </w:tc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Szilárd anyagot tartalmazó gyúlékony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folyadék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(etanol, etil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acetát, izopropil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nyakal,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metilundekán,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citromsav</w:t>
            </w: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4.1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II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830D3A" w:rsidRDefault="00A66E71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A66E71">
              <w:rPr>
                <w:rFonts w:eastAsia="Times New Roman" w:cstheme="minorHAnsi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439746" cy="444500"/>
                  <wp:effectExtent l="0" t="0" r="0" b="0"/>
                  <wp:docPr id="4" name="Kép 4" descr="C:\Users\sandor.zsok\Desktop\drive\Drive\A Business\A Suntec Hungary\Suppliers\Gekatex\L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dor.zsok\Desktop\drive\Drive\A Business\A Suntec Hungary\Suppliers\Gekatex\L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70" cy="45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71" w:rsidTr="00830D3A"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Osztályozás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ADNR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UN 3175</w:t>
            </w:r>
          </w:p>
        </w:tc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Szilárd anyagot tartalmazó gyúlékony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folyadék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(etanol, etil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acetát, izopropil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nyakal,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metilundekán,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citromsav</w:t>
            </w: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4.1</w:t>
            </w:r>
          </w:p>
        </w:tc>
        <w:tc>
          <w:tcPr>
            <w:tcW w:w="1511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II</w:t>
            </w:r>
          </w:p>
        </w:tc>
        <w:tc>
          <w:tcPr>
            <w:tcW w:w="1511" w:type="dxa"/>
          </w:tcPr>
          <w:p w:rsidR="00830D3A" w:rsidRDefault="00A66E71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A66E71">
              <w:rPr>
                <w:rFonts w:eastAsia="Times New Roman" w:cstheme="minorHAnsi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41C68200" wp14:editId="77760467">
                  <wp:extent cx="439746" cy="444500"/>
                  <wp:effectExtent l="0" t="0" r="0" b="0"/>
                  <wp:docPr id="5" name="Kép 5" descr="C:\Users\sandor.zsok\Desktop\drive\Drive\A Business\A Suntec Hungary\Suppliers\Gekatex\L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dor.zsok\Desktop\drive\Drive\A Business\A Suntec Hungary\Suppliers\Gekatex\L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70" cy="45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71" w:rsidTr="00830D3A">
        <w:tc>
          <w:tcPr>
            <w:tcW w:w="1510" w:type="dxa"/>
          </w:tcPr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IMDG</w:t>
            </w:r>
          </w:p>
          <w:p w:rsidR="00830D3A" w:rsidRP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Osztályozás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UN 3175</w:t>
            </w:r>
          </w:p>
        </w:tc>
        <w:tc>
          <w:tcPr>
            <w:tcW w:w="1510" w:type="dxa"/>
          </w:tcPr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Szilárd anyagot tartalmazó gyúlékony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folyadék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(etanol, etil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acetát, izopropil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nyakal,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metilundekán,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citromsav</w:t>
            </w: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B15DD9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4.1</w:t>
            </w:r>
          </w:p>
        </w:tc>
        <w:tc>
          <w:tcPr>
            <w:tcW w:w="1511" w:type="dxa"/>
          </w:tcPr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II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830D3A" w:rsidRDefault="00A66E71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A66E71">
              <w:rPr>
                <w:rFonts w:eastAsia="Times New Roman" w:cstheme="minorHAnsi"/>
                <w:noProof/>
                <w:sz w:val="20"/>
                <w:szCs w:val="20"/>
                <w:lang w:eastAsia="hu-HU"/>
              </w:rPr>
              <w:drawing>
                <wp:inline distT="0" distB="0" distL="0" distR="0" wp14:anchorId="41C68200" wp14:editId="77760467">
                  <wp:extent cx="439746" cy="444500"/>
                  <wp:effectExtent l="0" t="0" r="0" b="0"/>
                  <wp:docPr id="6" name="Kép 6" descr="C:\Users\sandor.zsok\Desktop\drive\Drive\A Business\A Suntec Hungary\Suppliers\Gekatex\L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dor.zsok\Desktop\drive\Drive\A Business\A Suntec Hungary\Suppliers\Gekatex\L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70" cy="454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71" w:rsidTr="00830D3A">
        <w:tc>
          <w:tcPr>
            <w:tcW w:w="1510" w:type="dxa"/>
          </w:tcPr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IATA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Osztályozás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830D3A" w:rsidRDefault="00B15DD9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UN 3175</w:t>
            </w:r>
          </w:p>
        </w:tc>
        <w:tc>
          <w:tcPr>
            <w:tcW w:w="1510" w:type="dxa"/>
          </w:tcPr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Szilárd anyagot tartalmazó gyúlékony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folyadék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(etanol, etil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acetát, izopropil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nyakal,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metilundekán,</w:t>
            </w:r>
          </w:p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citromsav</w:t>
            </w:r>
            <w:r w:rsidRPr="00830D3A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0" w:type="dxa"/>
          </w:tcPr>
          <w:p w:rsidR="00B15DD9" w:rsidRPr="00830D3A" w:rsidRDefault="00B15DD9" w:rsidP="00B15DD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4.1</w:t>
            </w:r>
          </w:p>
          <w:p w:rsidR="00830D3A" w:rsidRDefault="00830D3A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1" w:type="dxa"/>
          </w:tcPr>
          <w:p w:rsidR="00830D3A" w:rsidRDefault="00B15DD9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II</w:t>
            </w:r>
          </w:p>
        </w:tc>
        <w:tc>
          <w:tcPr>
            <w:tcW w:w="1511" w:type="dxa"/>
          </w:tcPr>
          <w:p w:rsidR="00830D3A" w:rsidRDefault="00A66E71" w:rsidP="00830D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A66E71">
              <w:rPr>
                <w:rFonts w:eastAsia="Times New Roman" w:cstheme="minorHAnsi"/>
                <w:noProof/>
                <w:sz w:val="20"/>
                <w:szCs w:val="20"/>
                <w:lang w:eastAsia="hu-HU"/>
              </w:rPr>
              <w:drawing>
                <wp:inline distT="0" distB="0" distL="0" distR="0">
                  <wp:extent cx="355600" cy="355600"/>
                  <wp:effectExtent l="0" t="0" r="6350" b="6350"/>
                  <wp:docPr id="7" name="Kép 7" descr="C:\Users\sandor.zsok\Desktop\drive\Drive\A Business\A Suntec Hungary\Suppliers\Gekatex\LQ Y pict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ndor.zsok\Desktop\drive\Drive\A Business\A Suntec Hungary\Suppliers\Gekatex\LQ Y picto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15. Szabályozási információk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15.1 Az adott anyaggal vagy keverékkel kapcsolatos biztonsági, egészségügyi és környezetvédelmi előírások/jogszabályok</w:t>
      </w:r>
    </w:p>
    <w:p w:rsidR="00830D3A" w:rsidRPr="00830D3A" w:rsidRDefault="001767FF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>EU-jogszabályok Az (EU) 2020/878 rendelet (2020. június 20</w:t>
      </w:r>
      <w:r w:rsidR="00830D3A" w:rsidRPr="00830D3A">
        <w:rPr>
          <w:rFonts w:eastAsia="Times New Roman" w:cstheme="minorHAnsi"/>
          <w:sz w:val="20"/>
          <w:szCs w:val="20"/>
          <w:lang w:eastAsia="hu-HU"/>
        </w:rPr>
        <w:t>.) módosítja az (EK) 1907/2006.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vegyi anyagok regisztrációja, értékelése, engedélyezése és korlátozása (REACH)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2018/1480/EU rendelettel (ATP 13) módosított 1272/2008/EK rendelet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2019/521/EU rendelettel (ATP 12) módosított 1272/2008/EK rendelet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minősített létesítmények listája CEVESO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1434 - Gyúlékony folyadékok töltésére vagy adagolására szolgáló berendezések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További adatok nem állnak rendelkezésre.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Forrás: A besorolt létesítmények ICPE nómenklatúrája – 50bis revízió 2021.02.02.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Az emberi egészség védelme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INRS forrás - Általános séma 84. táblázat: Keverék</w:t>
      </w:r>
      <w:r w:rsidR="00B15DD9">
        <w:rPr>
          <w:rFonts w:eastAsia="Times New Roman" w:cstheme="minorHAnsi"/>
          <w:sz w:val="20"/>
          <w:szCs w:val="20"/>
          <w:lang w:eastAsia="hu-HU"/>
        </w:rPr>
        <w:t>ek professzionális felhasználásra.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SVHC anyagok, amelyek az anyagban nem tartalmaznak „nagy aggodalomra okot adó anyagokat” (SVHC)&gt; =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0,1%-át az Európai Vegyianyag-ügynökség (ECHA) tette közzé</w:t>
      </w:r>
      <w:r w:rsidR="00B15DD9">
        <w:rPr>
          <w:rFonts w:eastAsia="Times New Roman" w:cstheme="minorHAnsi"/>
          <w:sz w:val="20"/>
          <w:szCs w:val="20"/>
          <w:lang w:eastAsia="hu-HU"/>
        </w:rPr>
        <w:t xml:space="preserve"> a következők szerint: 57. cikk </w:t>
      </w:r>
      <w:r w:rsidRPr="00830D3A">
        <w:rPr>
          <w:rFonts w:eastAsia="Times New Roman" w:cstheme="minorHAnsi"/>
          <w:sz w:val="20"/>
          <w:szCs w:val="20"/>
          <w:lang w:eastAsia="hu-HU"/>
        </w:rPr>
        <w:t>REACH.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15.2. Kémiai biztonsági értékelés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termék kémiai biztonsági értékel</w:t>
      </w:r>
      <w:r w:rsidR="00B15DD9">
        <w:rPr>
          <w:rFonts w:eastAsia="Times New Roman" w:cstheme="minorHAnsi"/>
          <w:sz w:val="20"/>
          <w:szCs w:val="20"/>
          <w:lang w:eastAsia="hu-HU"/>
        </w:rPr>
        <w:t xml:space="preserve">éséből származó információkat </w:t>
      </w:r>
      <w:r w:rsidRPr="00830D3A">
        <w:rPr>
          <w:rFonts w:eastAsia="Times New Roman" w:cstheme="minorHAnsi"/>
          <w:sz w:val="20"/>
          <w:szCs w:val="20"/>
          <w:lang w:eastAsia="hu-HU"/>
        </w:rPr>
        <w:t xml:space="preserve">szükség esetén </w:t>
      </w:r>
      <w:r w:rsidR="00B15DD9">
        <w:rPr>
          <w:rFonts w:eastAsia="Times New Roman" w:cstheme="minorHAnsi"/>
          <w:sz w:val="20"/>
          <w:szCs w:val="20"/>
          <w:lang w:eastAsia="hu-HU"/>
        </w:rPr>
        <w:t xml:space="preserve">megtalálja </w:t>
      </w:r>
      <w:r w:rsidRPr="00830D3A">
        <w:rPr>
          <w:rFonts w:eastAsia="Times New Roman" w:cstheme="minorHAnsi"/>
          <w:sz w:val="20"/>
          <w:szCs w:val="20"/>
          <w:lang w:eastAsia="hu-HU"/>
        </w:rPr>
        <w:t>a biztons</w:t>
      </w:r>
      <w:r w:rsidR="00B15DD9">
        <w:rPr>
          <w:rFonts w:eastAsia="Times New Roman" w:cstheme="minorHAnsi"/>
          <w:sz w:val="20"/>
          <w:szCs w:val="20"/>
          <w:lang w:eastAsia="hu-HU"/>
        </w:rPr>
        <w:t>ági adatlap megfelelő szakaszaiban</w:t>
      </w:r>
      <w:r w:rsidRPr="00830D3A">
        <w:rPr>
          <w:rFonts w:eastAsia="Times New Roman" w:cstheme="minorHAnsi"/>
          <w:sz w:val="20"/>
          <w:szCs w:val="20"/>
          <w:lang w:eastAsia="hu-HU"/>
        </w:rPr>
        <w:t>.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16. Egyéb információk</w:t>
      </w:r>
    </w:p>
    <w:p w:rsidR="00830D3A" w:rsidRP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jelen cikkben közölt Információk le</w:t>
      </w:r>
      <w:r w:rsidR="00B15DD9">
        <w:rPr>
          <w:rFonts w:eastAsia="Times New Roman" w:cstheme="minorHAnsi"/>
          <w:sz w:val="20"/>
          <w:szCs w:val="20"/>
          <w:lang w:eastAsia="hu-HU"/>
        </w:rPr>
        <w:t xml:space="preserve">gjobb tudásunk szerint helyesek </w:t>
      </w:r>
      <w:r w:rsidRPr="00830D3A">
        <w:rPr>
          <w:rFonts w:eastAsia="Times New Roman" w:cstheme="minorHAnsi"/>
          <w:sz w:val="20"/>
          <w:szCs w:val="20"/>
          <w:lang w:eastAsia="hu-HU"/>
        </w:rPr>
        <w:t>és a megje</w:t>
      </w:r>
      <w:r w:rsidR="00B15DD9">
        <w:rPr>
          <w:rFonts w:eastAsia="Times New Roman" w:cstheme="minorHAnsi"/>
          <w:sz w:val="20"/>
          <w:szCs w:val="20"/>
          <w:lang w:eastAsia="hu-HU"/>
        </w:rPr>
        <w:t>lenés időpontjában fennálló állapotot tükrözik.</w:t>
      </w:r>
      <w:r w:rsidRPr="00830D3A">
        <w:rPr>
          <w:rFonts w:eastAsia="Times New Roman" w:cstheme="minorHAnsi"/>
          <w:sz w:val="20"/>
          <w:szCs w:val="20"/>
          <w:lang w:eastAsia="hu-HU"/>
        </w:rPr>
        <w:t xml:space="preserve"> A megadott információk csak útmutatóként szolgálnak a biztonságos kezeléshez,</w:t>
      </w:r>
    </w:p>
    <w:p w:rsidR="00830D3A" w:rsidRPr="00830D3A" w:rsidRDefault="00B15DD9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>
        <w:rPr>
          <w:rFonts w:eastAsia="Times New Roman" w:cstheme="minorHAnsi"/>
          <w:sz w:val="20"/>
          <w:szCs w:val="20"/>
          <w:lang w:eastAsia="hu-HU"/>
        </w:rPr>
        <w:t xml:space="preserve">a </w:t>
      </w:r>
      <w:r w:rsidR="00830D3A" w:rsidRPr="00830D3A">
        <w:rPr>
          <w:rFonts w:eastAsia="Times New Roman" w:cstheme="minorHAnsi"/>
          <w:sz w:val="20"/>
          <w:szCs w:val="20"/>
          <w:lang w:eastAsia="hu-HU"/>
        </w:rPr>
        <w:t>felhasználásra, feldolgozásra, tárolásra, szállításra, ártalmatlanításra és kiadásra, és nem tekinthető garanciának vagy minőségnek</w:t>
      </w:r>
      <w:r>
        <w:rPr>
          <w:rFonts w:eastAsia="Times New Roman" w:cstheme="minorHAnsi"/>
          <w:sz w:val="20"/>
          <w:szCs w:val="20"/>
          <w:lang w:eastAsia="hu-HU"/>
        </w:rPr>
        <w:t>.</w:t>
      </w:r>
    </w:p>
    <w:p w:rsidR="00830D3A" w:rsidRDefault="00830D3A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 xml:space="preserve">A fenti információk csak az itt megjelölt anyagra </w:t>
      </w:r>
      <w:r w:rsidR="00B15DD9">
        <w:rPr>
          <w:rFonts w:eastAsia="Times New Roman" w:cstheme="minorHAnsi"/>
          <w:sz w:val="20"/>
          <w:szCs w:val="20"/>
          <w:lang w:eastAsia="hu-HU"/>
        </w:rPr>
        <w:t>vonatkoznak, és nem feltétlenül érvényes</w:t>
      </w:r>
      <w:r w:rsidRPr="00830D3A">
        <w:rPr>
          <w:rFonts w:eastAsia="Times New Roman" w:cstheme="minorHAnsi"/>
          <w:sz w:val="20"/>
          <w:szCs w:val="20"/>
          <w:lang w:eastAsia="hu-HU"/>
        </w:rPr>
        <w:t xml:space="preserve"> más anyaggal kombinálva vagy bármely eljárásban használt ilyen</w:t>
      </w:r>
      <w:r w:rsidR="00B15DD9">
        <w:rPr>
          <w:rFonts w:eastAsia="Times New Roman" w:cstheme="minorHAnsi"/>
          <w:sz w:val="20"/>
          <w:szCs w:val="20"/>
          <w:lang w:eastAsia="hu-HU"/>
        </w:rPr>
        <w:t xml:space="preserve"> anyagra, vagy ha az anyag módosított vagy feldolgozott</w:t>
      </w:r>
      <w:r w:rsidRPr="00830D3A">
        <w:rPr>
          <w:rFonts w:eastAsia="Times New Roman" w:cstheme="minorHAnsi"/>
          <w:sz w:val="20"/>
          <w:szCs w:val="20"/>
          <w:lang w:eastAsia="hu-HU"/>
        </w:rPr>
        <w:t>, kivéve, ha a szövegben meg van határozva.</w:t>
      </w:r>
    </w:p>
    <w:p w:rsidR="00B15DD9" w:rsidRPr="00830D3A" w:rsidRDefault="00B15DD9" w:rsidP="00830D3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:rsidR="00B15DD9" w:rsidRDefault="00830D3A" w:rsidP="00B15DD9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  <w:r w:rsidRPr="00830D3A">
        <w:rPr>
          <w:rFonts w:eastAsia="Times New Roman" w:cstheme="minorHAnsi"/>
          <w:sz w:val="20"/>
          <w:szCs w:val="20"/>
          <w:lang w:eastAsia="hu-HU"/>
        </w:rPr>
        <w:t>A dokumentum vége</w:t>
      </w:r>
    </w:p>
    <w:p w:rsidR="00AD353C" w:rsidRPr="00B15DD9" w:rsidRDefault="00B15DD9" w:rsidP="00B15DD9">
      <w:pPr>
        <w:spacing w:after="0" w:line="240" w:lineRule="auto"/>
        <w:rPr>
          <w:rFonts w:cstheme="minorHAnsi"/>
          <w:sz w:val="20"/>
          <w:szCs w:val="20"/>
        </w:rPr>
      </w:pPr>
      <w:r>
        <w:br/>
      </w:r>
      <w:r>
        <w:rPr>
          <w:rStyle w:val="markedcontent"/>
          <w:rFonts w:cstheme="minorHAnsi"/>
          <w:sz w:val="20"/>
          <w:szCs w:val="20"/>
        </w:rPr>
        <w:t>Telefon</w:t>
      </w:r>
      <w:r w:rsidRPr="00B15DD9">
        <w:rPr>
          <w:rStyle w:val="markedcontent"/>
          <w:rFonts w:cstheme="minorHAnsi"/>
          <w:sz w:val="20"/>
          <w:szCs w:val="20"/>
        </w:rPr>
        <w:t xml:space="preserve">: </w:t>
      </w:r>
      <w:r>
        <w:rPr>
          <w:rStyle w:val="markedcontent"/>
          <w:rFonts w:cstheme="minorHAnsi"/>
          <w:sz w:val="20"/>
          <w:szCs w:val="20"/>
        </w:rPr>
        <w:tab/>
      </w:r>
      <w:r w:rsidRPr="00B15DD9">
        <w:rPr>
          <w:rStyle w:val="markedcontent"/>
          <w:rFonts w:cstheme="minorHAnsi"/>
          <w:sz w:val="20"/>
          <w:szCs w:val="20"/>
        </w:rPr>
        <w:t>+33 3 20 17 97 00</w:t>
      </w:r>
      <w:r w:rsidRPr="00B15DD9">
        <w:rPr>
          <w:rFonts w:cstheme="minorHAnsi"/>
          <w:sz w:val="20"/>
          <w:szCs w:val="20"/>
        </w:rPr>
        <w:br/>
      </w:r>
      <w:r>
        <w:rPr>
          <w:rStyle w:val="markedcontent"/>
          <w:rFonts w:cstheme="minorHAnsi"/>
          <w:sz w:val="20"/>
          <w:szCs w:val="20"/>
        </w:rPr>
        <w:t>Email:</w:t>
      </w:r>
      <w:r>
        <w:rPr>
          <w:rStyle w:val="markedcontent"/>
          <w:rFonts w:cstheme="minorHAnsi"/>
          <w:sz w:val="20"/>
          <w:szCs w:val="20"/>
        </w:rPr>
        <w:tab/>
      </w:r>
      <w:r>
        <w:rPr>
          <w:rStyle w:val="markedcontent"/>
          <w:rFonts w:cstheme="minorHAnsi"/>
          <w:sz w:val="20"/>
          <w:szCs w:val="20"/>
        </w:rPr>
        <w:tab/>
      </w:r>
      <w:r w:rsidRPr="00B15DD9">
        <w:rPr>
          <w:rStyle w:val="markedcontent"/>
          <w:rFonts w:cstheme="minorHAnsi"/>
          <w:sz w:val="20"/>
          <w:szCs w:val="20"/>
        </w:rPr>
        <w:t>contact@gekatex.com</w:t>
      </w:r>
      <w:r w:rsidRPr="00B15DD9">
        <w:rPr>
          <w:rFonts w:cstheme="minorHAnsi"/>
          <w:sz w:val="20"/>
          <w:szCs w:val="20"/>
        </w:rPr>
        <w:br/>
      </w:r>
      <w:r>
        <w:rPr>
          <w:rStyle w:val="markedcontent"/>
          <w:rFonts w:cstheme="minorHAnsi"/>
          <w:sz w:val="20"/>
          <w:szCs w:val="20"/>
        </w:rPr>
        <w:t>Web:</w:t>
      </w:r>
      <w:r>
        <w:rPr>
          <w:rStyle w:val="markedcontent"/>
          <w:rFonts w:cstheme="minorHAnsi"/>
          <w:sz w:val="20"/>
          <w:szCs w:val="20"/>
        </w:rPr>
        <w:tab/>
      </w:r>
      <w:r>
        <w:rPr>
          <w:rStyle w:val="markedcontent"/>
          <w:rFonts w:cstheme="minorHAnsi"/>
          <w:sz w:val="20"/>
          <w:szCs w:val="20"/>
        </w:rPr>
        <w:tab/>
      </w:r>
      <w:r w:rsidRPr="00B15DD9">
        <w:rPr>
          <w:rStyle w:val="markedcontent"/>
          <w:rFonts w:cstheme="minorHAnsi"/>
          <w:sz w:val="20"/>
          <w:szCs w:val="20"/>
        </w:rPr>
        <w:t>www.gekatex.com</w:t>
      </w:r>
    </w:p>
    <w:sectPr w:rsidR="00AD353C" w:rsidRPr="00B1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3C"/>
    <w:rsid w:val="001767FF"/>
    <w:rsid w:val="002069CA"/>
    <w:rsid w:val="003F7BA9"/>
    <w:rsid w:val="00500734"/>
    <w:rsid w:val="005F52FC"/>
    <w:rsid w:val="00745BAD"/>
    <w:rsid w:val="00830D3A"/>
    <w:rsid w:val="009B063D"/>
    <w:rsid w:val="00A661A9"/>
    <w:rsid w:val="00A66E71"/>
    <w:rsid w:val="00A84E76"/>
    <w:rsid w:val="00AD353C"/>
    <w:rsid w:val="00B15DD9"/>
    <w:rsid w:val="00B9750E"/>
    <w:rsid w:val="00DC5BC3"/>
    <w:rsid w:val="00DD0C81"/>
    <w:rsid w:val="00E83AA2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2F5CD-BCB1-45ED-9B3A-1DF88E9B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AD353C"/>
  </w:style>
  <w:style w:type="character" w:styleId="Hiperhivatkozs">
    <w:name w:val="Hyperlink"/>
    <w:basedOn w:val="Bekezdsalapbettpusa"/>
    <w:uiPriority w:val="99"/>
    <w:unhideWhenUsed/>
    <w:rsid w:val="00AD353C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F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1942</Words>
  <Characters>13402</Characters>
  <Application>Microsoft Office Word</Application>
  <DocSecurity>4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sandor.zsok</dc:creator>
  <cp:keywords/>
  <dc:description/>
  <cp:lastModifiedBy>eszter.szabo</cp:lastModifiedBy>
  <cp:revision>2</cp:revision>
  <dcterms:created xsi:type="dcterms:W3CDTF">2023-08-21T08:42:00Z</dcterms:created>
  <dcterms:modified xsi:type="dcterms:W3CDTF">2023-08-21T08:42:00Z</dcterms:modified>
</cp:coreProperties>
</file>